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59CD" w14:textId="77777777" w:rsidR="00562B56" w:rsidRDefault="00562B56" w:rsidP="00562B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FE1FE63" w14:textId="77777777" w:rsidR="00562B56" w:rsidRDefault="00562B56" w:rsidP="00562B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BE911FB" w14:textId="77777777" w:rsidR="00562B56" w:rsidRDefault="00562B56" w:rsidP="00562B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76380F4" w14:textId="77777777" w:rsidR="00562B56" w:rsidRDefault="00562B56" w:rsidP="00562B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F570861" w14:textId="77777777" w:rsidR="00562B56" w:rsidRPr="00CF6E1C" w:rsidRDefault="00562B56" w:rsidP="00562B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8E92EC1" w14:textId="77777777" w:rsidR="00562B56" w:rsidRDefault="00562B56" w:rsidP="00562B56">
      <w:pPr>
        <w:widowControl w:val="0"/>
        <w:autoSpaceDE w:val="0"/>
        <w:autoSpaceDN w:val="0"/>
        <w:spacing w:after="0" w:line="240" w:lineRule="auto"/>
        <w:ind w:left="4820"/>
        <w:contextualSpacing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60C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к решению Собрания города Обнинска       «Об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отчете Контрольно-счетной палаты городского округа города Обнинска Калужской области              о результатах деятельности в 2025 году</w:t>
      </w:r>
      <w:r w:rsidRPr="002F60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Pr="002F60CA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24.02.202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 № 0</w:t>
      </w:r>
      <w:r w:rsidRPr="002F60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1-09  </w:t>
      </w:r>
    </w:p>
    <w:p w14:paraId="54B380D2" w14:textId="77777777" w:rsidR="00562B56" w:rsidRPr="002F60CA" w:rsidRDefault="00562B56" w:rsidP="00562B56">
      <w:pPr>
        <w:widowControl w:val="0"/>
        <w:autoSpaceDE w:val="0"/>
        <w:autoSpaceDN w:val="0"/>
        <w:spacing w:after="0" w:line="240" w:lineRule="auto"/>
        <w:ind w:left="4820"/>
        <w:contextualSpacing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61E8E9" w14:textId="77777777" w:rsidR="00562B56" w:rsidRDefault="00562B56" w:rsidP="00562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0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ТЧЕТ</w:t>
      </w:r>
    </w:p>
    <w:p w14:paraId="1830E659" w14:textId="77777777" w:rsidR="00562B56" w:rsidRDefault="00562B56" w:rsidP="00562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КОНТРОЛЬНО-СЧЕТНОЙ ПАЛАТЫ ГОРОДСКОГО ОКРУГА ГОРОДА ОБНИНСКА КАЛУЖСКОЙ ОБЛАСТИ О РЕЗУЛЬТАТАХ ДЕЯТЕЛЬНОСТИ           В 2025 ГОДУ</w:t>
      </w:r>
    </w:p>
    <w:p w14:paraId="2701A48C" w14:textId="77777777" w:rsidR="00562B56" w:rsidRPr="002F60CA" w:rsidRDefault="00562B56" w:rsidP="00562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125BE4" w14:textId="77777777" w:rsidR="00562B56" w:rsidRPr="0065343F" w:rsidRDefault="00562B56" w:rsidP="00562B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A6727"/>
          <w:sz w:val="26"/>
          <w:szCs w:val="26"/>
          <w:lang w:eastAsia="ru-RU"/>
        </w:rPr>
      </w:pPr>
      <w:r w:rsidRPr="0065343F">
        <w:rPr>
          <w:rFonts w:ascii="Times New Roman" w:eastAsia="Times New Roman" w:hAnsi="Times New Roman" w:cs="Times New Roman"/>
          <w:b/>
          <w:color w:val="2A6727"/>
          <w:sz w:val="26"/>
          <w:szCs w:val="26"/>
          <w:lang w:eastAsia="ru-RU"/>
        </w:rPr>
        <w:t>Введение</w:t>
      </w:r>
    </w:p>
    <w:p w14:paraId="2C5BE2D1" w14:textId="77777777" w:rsidR="00562B56" w:rsidRPr="0065343F" w:rsidRDefault="00562B56" w:rsidP="0056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14:paraId="5C192D1D" w14:textId="77777777" w:rsidR="00562B56" w:rsidRDefault="00562B56" w:rsidP="0056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Ежегодный отчет о деятельности Контрольно-счетной палаты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городского округа города Обнинска Калужской области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(далее – КСП, Палата) 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представляется Собранию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города Обнинска 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в соответствии с требованиями Федерального закона от 07.02.2011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№ 6-ФЗ «</w:t>
      </w:r>
      <w:r w:rsidRPr="004414A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» (далее – Федеральный закон № 6-ФЗ), Устава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городского округа города Обнинска Калужской области, утвержденного Собранием города Обнинска от 01.08.2025 № 01-72,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Положения «О Контрольно-счетной палате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городского округа города Обнинска Калужской области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», утвержденного решением Собрания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города Обнинска 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от 2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3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.09.20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25 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17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01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(далее – Положение о КСП).</w:t>
      </w:r>
    </w:p>
    <w:p w14:paraId="4CE48C6C" w14:textId="77777777" w:rsidR="00562B56" w:rsidRPr="00F60167" w:rsidRDefault="00562B56" w:rsidP="0056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</w:t>
      </w: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момента создания КСП в качестве самостоятельного органа местного самоуправления, с учетом определенного действующим законодательством правового статуса, ориентиров деятельности, сформулированных органами государственной власти Р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оссийской </w:t>
      </w: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едерации</w:t>
      </w: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, Калужской области, Счетной палатой Р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оссийской </w:t>
      </w: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едерации,</w:t>
      </w: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Союзом </w:t>
      </w:r>
      <w:r w:rsidRPr="004D778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контрольно-счетных органов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Ассоциацией контрольно-счетных органов Калужской области,</w:t>
      </w: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накопленного опыта деятельности и взаимодействия с представительным и исполнительным органами местного самоуправления города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Обнинска, </w:t>
      </w: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КСП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руководствуется и</w:t>
      </w: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подтверждает свою приверженность действующей миссии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Палаты</w:t>
      </w: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–</w:t>
      </w: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содействовать справедливому и ответственному муниципальному управлению как необходимому условию устойчивого развития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города</w:t>
      </w: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Обнинска и достойной жизни его жителей, выступая при этом  в качестве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:</w:t>
      </w:r>
    </w:p>
    <w:p w14:paraId="76EBF1BC" w14:textId="77777777" w:rsidR="00562B56" w:rsidRPr="00F60167" w:rsidRDefault="00562B56" w:rsidP="0056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защитника интересов муниципального сообщества (деятельность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</w:t>
      </w: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алаты ориентирована на защиту экономических и связанных с ними социальных интересов жителей города, укрепления общественного доверия к власти посредством содействия эффективному и рациональному использованию муниципальных ресурсов путем выявления нарушений и недостатков, а также экспертных рекомендаций);</w:t>
      </w:r>
    </w:p>
    <w:p w14:paraId="54A5A5B8" w14:textId="77777777" w:rsidR="00562B56" w:rsidRPr="00F60167" w:rsidRDefault="00562B56" w:rsidP="0056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гаранта подотчетности (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</w:t>
      </w: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алата содействует подотчетности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органов местного самоуправления (далее – ОМС)</w:t>
      </w: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и их ответственности за результаты использования муниципальных ресурсов, предоставляет объективную информацию об управлении муниципальными ресурсами руководству города и депутатам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–</w:t>
      </w: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представителям жителей города в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Собрание города Обнинска</w:t>
      </w: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).</w:t>
      </w:r>
    </w:p>
    <w:p w14:paraId="71D35763" w14:textId="77777777" w:rsidR="00562B56" w:rsidRPr="00F60167" w:rsidRDefault="00562B56" w:rsidP="0056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Деятельность КСП направлена на развитие системы муниципального управления для реализации на уровне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муниципального самоуправления</w:t>
      </w: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национальных целей и задач стратегического развития Российской Федерации и включает контроль за исполнением </w:t>
      </w: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 xml:space="preserve">муниципального бюджета, содействие эффективному формированию и целевому использованию муниципальных ресурсов. </w:t>
      </w:r>
    </w:p>
    <w:p w14:paraId="53CC5F1C" w14:textId="77777777" w:rsidR="00562B56" w:rsidRPr="00F60167" w:rsidRDefault="00562B56" w:rsidP="0056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КСП основы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вает</w:t>
      </w: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свою деятельность на таких приоритетах как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гласность, открытость, </w:t>
      </w: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высокий уровень профессионализма,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использование передовых практик контроля</w:t>
      </w: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. </w:t>
      </w:r>
    </w:p>
    <w:p w14:paraId="62698F9C" w14:textId="77777777" w:rsidR="00562B56" w:rsidRPr="00F60167" w:rsidRDefault="00562B56" w:rsidP="0056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За прошедшие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годы</w:t>
      </w: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с момента образования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Палаты в 2010 году,</w:t>
      </w: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ее </w:t>
      </w: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сотрудниками создан фундамент внешнего муниципального финансового контроля и аудита в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городе</w:t>
      </w: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Обнинске, на основе которого планируется выстроить работу по достижению цели и решению задач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</w:t>
      </w: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алаты на ближайшую перспективу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, включающий</w:t>
      </w: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:</w:t>
      </w:r>
    </w:p>
    <w:p w14:paraId="06B736BB" w14:textId="77777777" w:rsidR="00562B56" w:rsidRPr="00F60167" w:rsidRDefault="00562B56" w:rsidP="0056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 </w:t>
      </w: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комплексный подход к осуществлению контроля. Реализация этого подхода состоит в организации и проведении целостных всесторонних исследований бюджетной сферы города посредством последовательной реализации комплексов мероприятий. Это позволяет при проведении таких комплексов мероприятий глубоко изучить состояние анализируемых областей (формирование и исполнение бюджета, деятельность муниципальных учреждений и предприятий, осуществление закупок для муниципальных нужд,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муниципальное</w:t>
      </w: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нормотворчество в сфере экономики, финансов, муниципальной собственности и др.) и сформулировать аналитические обоснованные выводы и рекомендации по улучшению ситуации в них;</w:t>
      </w:r>
    </w:p>
    <w:p w14:paraId="3DBB5C5B" w14:textId="77777777" w:rsidR="00562B56" w:rsidRPr="00F60167" w:rsidRDefault="00562B56" w:rsidP="0056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развит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ую</w:t>
      </w: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методологи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ю</w:t>
      </w: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контроля и аудита. За прошедший период работы КСП разработана и внедрена методология (система Стандартов) внешнего муниципального аудита (контроля), в том числе с учетом стандартов Счетной палаты РФ, Союза МКСО и лучших практик контрольно-счетных органов Калужской области и других субъектов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РФ,</w:t>
      </w: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что позволяет фокусировать внимание внешнего муниципального финансового контроля на областях управления муниципальными ресурсами, являющихся существенными и связанными с наибольшим риском в секторе муниципального управления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;</w:t>
      </w:r>
    </w:p>
    <w:p w14:paraId="57D2E048" w14:textId="77777777" w:rsidR="00562B56" w:rsidRPr="0065343F" w:rsidRDefault="00562B56" w:rsidP="00562B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востребованность результатов деятельности. Результаты мероприятий КСП, экспертизы проектов нормативных правовых актов, муниципальных программ, иных документов стратегического планирования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городского округа города Обнинска</w:t>
      </w:r>
      <w:r w:rsidRPr="00F6016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активно применяются в качестве аргументированной и доказательной поддержки при принятии управленческих решений в различных областях муниципального управления.</w:t>
      </w:r>
    </w:p>
    <w:p w14:paraId="4FF30019" w14:textId="77777777" w:rsidR="00562B56" w:rsidRPr="0065343F" w:rsidRDefault="00562B56" w:rsidP="00562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КСП</w:t>
      </w:r>
      <w:r w:rsidRPr="0065343F">
        <w:rPr>
          <w:rFonts w:ascii="Times New Roman" w:hAnsi="Times New Roman" w:cs="Times New Roman"/>
          <w:color w:val="231F20"/>
          <w:sz w:val="24"/>
          <w:szCs w:val="24"/>
        </w:rPr>
        <w:t xml:space="preserve"> осуществляет свою деятельность в соответствии с полномочиями, установленными действующим законодательством.</w:t>
      </w:r>
    </w:p>
    <w:p w14:paraId="3857A609" w14:textId="77777777" w:rsidR="00562B56" w:rsidRPr="0065343F" w:rsidRDefault="00562B56" w:rsidP="00562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В соответствии со ст. 9 </w:t>
      </w:r>
      <w:r w:rsidRPr="0065343F">
        <w:rPr>
          <w:rFonts w:ascii="Times New Roman" w:hAnsi="Times New Roman" w:cs="Times New Roman"/>
          <w:color w:val="231F20"/>
          <w:sz w:val="24"/>
          <w:szCs w:val="24"/>
        </w:rPr>
        <w:t>Федерального закона № 6-ФЗ КСП осуществляет:</w:t>
      </w:r>
    </w:p>
    <w:p w14:paraId="158970C7" w14:textId="77777777" w:rsidR="00562B56" w:rsidRPr="0065343F" w:rsidRDefault="00562B56" w:rsidP="00562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43F">
        <w:rPr>
          <w:rFonts w:ascii="Times New Roman" w:hAnsi="Times New Roman" w:cs="Times New Roman"/>
          <w:sz w:val="24"/>
          <w:szCs w:val="24"/>
        </w:rPr>
        <w:t>- организацию и осуществление контроля за законностью и эффективностью использования средств местного бюджета, а также иных средств в случаях, предусмотренных законодательством Российской Федерации;</w:t>
      </w:r>
    </w:p>
    <w:p w14:paraId="54B83D09" w14:textId="77777777" w:rsidR="00562B56" w:rsidRPr="0065343F" w:rsidRDefault="00562B56" w:rsidP="00562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43F">
        <w:rPr>
          <w:rFonts w:ascii="Times New Roman" w:hAnsi="Times New Roman" w:cs="Times New Roman"/>
          <w:sz w:val="24"/>
          <w:szCs w:val="24"/>
        </w:rPr>
        <w:t>- экспертизу проектов местного бюджета, проверку и анализ обоснованности его показателей;</w:t>
      </w:r>
    </w:p>
    <w:p w14:paraId="3B0A6BB2" w14:textId="77777777" w:rsidR="00562B56" w:rsidRPr="0065343F" w:rsidRDefault="00562B56" w:rsidP="00562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43F">
        <w:rPr>
          <w:rFonts w:ascii="Times New Roman" w:hAnsi="Times New Roman" w:cs="Times New Roman"/>
          <w:sz w:val="24"/>
          <w:szCs w:val="24"/>
        </w:rPr>
        <w:t>- внешнюю проверку годового отчета об исполнении местного бюджета;</w:t>
      </w:r>
    </w:p>
    <w:p w14:paraId="19D254F2" w14:textId="77777777" w:rsidR="00562B56" w:rsidRPr="0065343F" w:rsidRDefault="00562B56" w:rsidP="00562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43F">
        <w:rPr>
          <w:rFonts w:ascii="Times New Roman" w:hAnsi="Times New Roman" w:cs="Times New Roman"/>
          <w:sz w:val="24"/>
          <w:szCs w:val="24"/>
        </w:rPr>
        <w:t xml:space="preserve">- проведение аудита в сфере закупок товаров, работ и услуг в соответствии с Федеральным </w:t>
      </w:r>
      <w:hyperlink r:id="rId5" w:history="1">
        <w:r w:rsidRPr="0065343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5343F">
        <w:rPr>
          <w:rFonts w:ascii="Times New Roman" w:hAnsi="Times New Roman" w:cs="Times New Roman"/>
          <w:sz w:val="24"/>
          <w:szCs w:val="24"/>
        </w:rPr>
        <w:t xml:space="preserve"> от 05.04.2013 № 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44-ФЗ);</w:t>
      </w:r>
    </w:p>
    <w:p w14:paraId="3511941E" w14:textId="77777777" w:rsidR="00562B56" w:rsidRPr="0065343F" w:rsidRDefault="00562B56" w:rsidP="00562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43F">
        <w:rPr>
          <w:rFonts w:ascii="Times New Roman" w:hAnsi="Times New Roman" w:cs="Times New Roman"/>
          <w:sz w:val="24"/>
          <w:szCs w:val="24"/>
        </w:rPr>
        <w:t>- оценку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14:paraId="7E6C1252" w14:textId="77777777" w:rsidR="00562B56" w:rsidRPr="0065343F" w:rsidRDefault="00562B56" w:rsidP="00562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43F">
        <w:rPr>
          <w:rFonts w:ascii="Times New Roman" w:hAnsi="Times New Roman" w:cs="Times New Roman"/>
          <w:sz w:val="24"/>
          <w:szCs w:val="24"/>
        </w:rPr>
        <w:t xml:space="preserve">- оценку эффективности предоставления налоговых и иных льгот и преимуществ, бюджетных кредитов за счет средств местного бюджета, а также оценку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</w:t>
      </w:r>
      <w:r w:rsidRPr="0065343F">
        <w:rPr>
          <w:rFonts w:ascii="Times New Roman" w:hAnsi="Times New Roman" w:cs="Times New Roman"/>
          <w:sz w:val="24"/>
          <w:szCs w:val="24"/>
        </w:rPr>
        <w:lastRenderedPageBreak/>
        <w:t>индивидуальными предпринимателями за счет средств местного бюджета и имущества, находящегося в муниципальной собственности;</w:t>
      </w:r>
    </w:p>
    <w:p w14:paraId="1307C250" w14:textId="77777777" w:rsidR="00562B56" w:rsidRPr="0065343F" w:rsidRDefault="00562B56" w:rsidP="00562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43F">
        <w:rPr>
          <w:rFonts w:ascii="Times New Roman" w:hAnsi="Times New Roman" w:cs="Times New Roman"/>
          <w:sz w:val="24"/>
          <w:szCs w:val="24"/>
        </w:rPr>
        <w:t>- экспертизу проектов муниципальных правовых актов в части, касающейся расходных обязательств муниципального образования, экспертизу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14:paraId="2BB6278B" w14:textId="77777777" w:rsidR="00562B56" w:rsidRPr="0065343F" w:rsidRDefault="00562B56" w:rsidP="00562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43F">
        <w:rPr>
          <w:rFonts w:ascii="Times New Roman" w:hAnsi="Times New Roman" w:cs="Times New Roman"/>
          <w:sz w:val="24"/>
          <w:szCs w:val="24"/>
        </w:rPr>
        <w:t>- анализ и мониторинг бюджетного процесса в муниципальном образовании, в том числе подготовку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14:paraId="0617C6FB" w14:textId="77777777" w:rsidR="00562B56" w:rsidRPr="0065343F" w:rsidRDefault="00562B56" w:rsidP="00562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43F">
        <w:rPr>
          <w:rFonts w:ascii="Times New Roman" w:hAnsi="Times New Roman" w:cs="Times New Roman"/>
          <w:sz w:val="24"/>
          <w:szCs w:val="24"/>
        </w:rPr>
        <w:t>- проведение оперативного анализа исполнения и контроля за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представительный орган муниципального образования и главе муниципального образования;</w:t>
      </w:r>
    </w:p>
    <w:p w14:paraId="59394999" w14:textId="77777777" w:rsidR="00562B56" w:rsidRPr="0065343F" w:rsidRDefault="00562B56" w:rsidP="00562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43F">
        <w:rPr>
          <w:rFonts w:ascii="Times New Roman" w:hAnsi="Times New Roman" w:cs="Times New Roman"/>
          <w:sz w:val="24"/>
          <w:szCs w:val="24"/>
        </w:rPr>
        <w:t>- контроль за состоянием муниципального внутреннего и внешнего долга;</w:t>
      </w:r>
    </w:p>
    <w:p w14:paraId="05C95830" w14:textId="77777777" w:rsidR="00562B56" w:rsidRPr="0065343F" w:rsidRDefault="00562B56" w:rsidP="00562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43F">
        <w:rPr>
          <w:rFonts w:ascii="Times New Roman" w:hAnsi="Times New Roman" w:cs="Times New Roman"/>
          <w:sz w:val="24"/>
          <w:szCs w:val="24"/>
        </w:rPr>
        <w:t>- оценку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контрольно-счетного органа муниципального образования;</w:t>
      </w:r>
    </w:p>
    <w:p w14:paraId="1848E89B" w14:textId="77777777" w:rsidR="00562B56" w:rsidRDefault="00562B56" w:rsidP="00562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43F">
        <w:rPr>
          <w:rFonts w:ascii="Times New Roman" w:hAnsi="Times New Roman" w:cs="Times New Roman"/>
          <w:sz w:val="24"/>
          <w:szCs w:val="24"/>
        </w:rPr>
        <w:t>- участие в пределах полномочий в мероприятиях, направленных на противодействие коррупции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0103A81" w14:textId="77777777" w:rsidR="00562B56" w:rsidRPr="0065343F" w:rsidRDefault="00562B56" w:rsidP="00562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22669E">
        <w:rPr>
          <w:rFonts w:ascii="Times New Roman" w:hAnsi="Times New Roman" w:cs="Times New Roman"/>
          <w:sz w:val="24"/>
          <w:szCs w:val="24"/>
        </w:rPr>
        <w:t>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представительного органа муниципального образования.</w:t>
      </w:r>
    </w:p>
    <w:p w14:paraId="49A1498B" w14:textId="77777777" w:rsidR="00562B56" w:rsidRPr="0065343F" w:rsidRDefault="00562B56" w:rsidP="00562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43F">
        <w:rPr>
          <w:rFonts w:ascii="Times New Roman" w:hAnsi="Times New Roman" w:cs="Times New Roman"/>
          <w:color w:val="231F20"/>
          <w:sz w:val="24"/>
          <w:szCs w:val="24"/>
        </w:rPr>
        <w:t xml:space="preserve">В соответствии со ст. 157 Бюджетного кодекса Российской Федерации (далее – БК РФ) КСП </w:t>
      </w:r>
      <w:r w:rsidRPr="0065343F">
        <w:rPr>
          <w:rFonts w:ascii="Times New Roman" w:hAnsi="Times New Roman" w:cs="Times New Roman"/>
          <w:sz w:val="24"/>
          <w:szCs w:val="24"/>
        </w:rPr>
        <w:t>также осуществляет бюджетные полномочия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Pr="0065343F">
        <w:rPr>
          <w:rFonts w:ascii="Times New Roman" w:hAnsi="Times New Roman" w:cs="Times New Roman"/>
          <w:sz w:val="24"/>
          <w:szCs w:val="24"/>
        </w:rPr>
        <w:t>:</w:t>
      </w:r>
    </w:p>
    <w:p w14:paraId="4B8F3BCD" w14:textId="77777777" w:rsidR="00562B56" w:rsidRPr="0065343F" w:rsidRDefault="00562B56" w:rsidP="00562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5343F">
        <w:rPr>
          <w:rFonts w:ascii="Times New Roman" w:hAnsi="Times New Roman" w:cs="Times New Roman"/>
          <w:color w:val="231F20"/>
          <w:sz w:val="24"/>
          <w:szCs w:val="24"/>
        </w:rPr>
        <w:t>- аудиту эффективности, направленному на определение экономности и результативности использования бюджетных средств;</w:t>
      </w:r>
    </w:p>
    <w:p w14:paraId="50F60D4D" w14:textId="77777777" w:rsidR="00562B56" w:rsidRPr="0065343F" w:rsidRDefault="00562B56" w:rsidP="00562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5343F">
        <w:rPr>
          <w:rFonts w:ascii="Times New Roman" w:hAnsi="Times New Roman" w:cs="Times New Roman"/>
          <w:color w:val="231F20"/>
          <w:sz w:val="24"/>
          <w:szCs w:val="24"/>
        </w:rPr>
        <w:t>- экспертизе проектов решений о бюджете, иных нормативных правовых актов бюджетного законодательства Российской Федерации, в том числе обоснованности показателей (параметров и характеристик) бюджетов;</w:t>
      </w:r>
    </w:p>
    <w:p w14:paraId="0A69170C" w14:textId="77777777" w:rsidR="00562B56" w:rsidRPr="0065343F" w:rsidRDefault="00562B56" w:rsidP="00562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5343F">
        <w:rPr>
          <w:rFonts w:ascii="Times New Roman" w:hAnsi="Times New Roman" w:cs="Times New Roman"/>
          <w:color w:val="231F20"/>
          <w:sz w:val="24"/>
          <w:szCs w:val="24"/>
        </w:rPr>
        <w:t>- экспертизе муниципальных программ;</w:t>
      </w:r>
    </w:p>
    <w:p w14:paraId="7CA5D330" w14:textId="77777777" w:rsidR="00562B56" w:rsidRPr="0065343F" w:rsidRDefault="00562B56" w:rsidP="00562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5343F">
        <w:rPr>
          <w:rFonts w:ascii="Times New Roman" w:hAnsi="Times New Roman" w:cs="Times New Roman"/>
          <w:color w:val="231F20"/>
          <w:sz w:val="24"/>
          <w:szCs w:val="24"/>
        </w:rPr>
        <w:t>- анализу и мониторингу бюджетного процесса, в том числе по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14:paraId="00A3E29C" w14:textId="77777777" w:rsidR="00562B56" w:rsidRDefault="00562B56" w:rsidP="00562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5343F">
        <w:rPr>
          <w:rFonts w:ascii="Times New Roman" w:hAnsi="Times New Roman" w:cs="Times New Roman"/>
          <w:color w:val="231F20"/>
          <w:sz w:val="24"/>
          <w:szCs w:val="24"/>
        </w:rPr>
        <w:t>- </w:t>
      </w:r>
      <w:r w:rsidRPr="0065343F">
        <w:rPr>
          <w:rFonts w:ascii="Times New Roman" w:hAnsi="Times New Roman" w:cs="Times New Roman"/>
          <w:sz w:val="24"/>
          <w:szCs w:val="24"/>
        </w:rPr>
        <w:t>подготовке предложений по совершенствованию осуществления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внутреннего финансового аудита</w:t>
      </w:r>
      <w:r w:rsidRPr="0065343F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2A392C0D" w14:textId="77777777" w:rsidR="00562B56" w:rsidRPr="0065343F" w:rsidRDefault="00562B56" w:rsidP="00562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При осуществлении полномочий КСП руководствуется также положениями </w:t>
      </w:r>
      <w:r w:rsidRPr="00E64B77">
        <w:rPr>
          <w:rFonts w:ascii="Times New Roman" w:hAnsi="Times New Roman" w:cs="Times New Roman"/>
          <w:color w:val="231F20"/>
          <w:sz w:val="24"/>
          <w:szCs w:val="24"/>
        </w:rPr>
        <w:t>15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стандартов деятельности Палаты.</w:t>
      </w:r>
    </w:p>
    <w:p w14:paraId="6E5BBD19" w14:textId="77777777" w:rsidR="00562B56" w:rsidRPr="0065343F" w:rsidRDefault="00562B56" w:rsidP="0056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В отчете отражена информация об основных результатах деятельности Палаты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2025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по выполнению полномочий в сфере внешнего муниципального финансового контроля, которые определены законодательством Российской Федерации и муниципальными правовыми актами города Обнинска.</w:t>
      </w:r>
    </w:p>
    <w:p w14:paraId="50724D46" w14:textId="77777777" w:rsidR="00562B56" w:rsidRPr="0065343F" w:rsidRDefault="00562B56" w:rsidP="0056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 соответствии со ст.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11 Положения о КСП Палата осуществляет свою деятельность на основе планов, которые разрабатываются и утверждаются ею самостоятельно. </w:t>
      </w:r>
    </w:p>
    <w:p w14:paraId="4C0B48ED" w14:textId="77777777" w:rsidR="00562B56" w:rsidRPr="0065343F" w:rsidRDefault="00562B56" w:rsidP="0056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58585A"/>
          <w:sz w:val="24"/>
          <w:szCs w:val="24"/>
          <w:lang w:eastAsia="ru-RU"/>
        </w:rPr>
      </w:pPr>
    </w:p>
    <w:p w14:paraId="67F98569" w14:textId="77777777" w:rsidR="00562B56" w:rsidRPr="006451E0" w:rsidRDefault="00562B56" w:rsidP="00562B56">
      <w:pPr>
        <w:pStyle w:val="11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Приоритетными направлениями работы Палаты в </w:t>
      </w:r>
      <w:r>
        <w:rPr>
          <w:rFonts w:ascii="Times New Roman" w:hAnsi="Times New Roman" w:cs="Times New Roman"/>
          <w:color w:val="auto"/>
          <w:sz w:val="24"/>
          <w:szCs w:val="24"/>
        </w:rPr>
        <w:t>2025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году являлись:</w:t>
      </w:r>
    </w:p>
    <w:p w14:paraId="6A7FFAC3" w14:textId="77777777" w:rsidR="00562B56" w:rsidRPr="006451E0" w:rsidRDefault="00562B56" w:rsidP="00562B56">
      <w:pPr>
        <w:pStyle w:val="11"/>
        <w:ind w:firstLine="709"/>
        <w:rPr>
          <w:rFonts w:ascii="Times New Roman" w:hAnsi="Times New Roman" w:cs="Times New Roman"/>
          <w:color w:val="auto"/>
          <w:sz w:val="16"/>
          <w:szCs w:val="16"/>
        </w:rPr>
      </w:pPr>
    </w:p>
    <w:p w14:paraId="4AC40114" w14:textId="77777777" w:rsidR="00562B56" w:rsidRPr="006451E0" w:rsidRDefault="00562B56" w:rsidP="00562B56">
      <w:pPr>
        <w:pStyle w:val="11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451E0">
        <w:rPr>
          <w:rFonts w:ascii="Times New Roman" w:hAnsi="Times New Roman" w:cs="Times New Roman"/>
          <w:color w:val="auto"/>
          <w:sz w:val="24"/>
          <w:szCs w:val="24"/>
        </w:rPr>
        <w:t>- контроль за формированием и исполнением бюджета города</w:t>
      </w:r>
      <w:r>
        <w:rPr>
          <w:rFonts w:ascii="Times New Roman" w:hAnsi="Times New Roman" w:cs="Times New Roman"/>
          <w:color w:val="auto"/>
          <w:sz w:val="24"/>
          <w:szCs w:val="24"/>
        </w:rPr>
        <w:t>, мониторинг бюджетного процесса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</w:p>
    <w:p w14:paraId="5C6A27DE" w14:textId="77777777" w:rsidR="00562B56" w:rsidRPr="006451E0" w:rsidRDefault="00562B56" w:rsidP="00562B56">
      <w:pPr>
        <w:pStyle w:val="11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451E0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- контроль за </w:t>
      </w:r>
      <w:r>
        <w:rPr>
          <w:rFonts w:ascii="Times New Roman" w:hAnsi="Times New Roman" w:cs="Times New Roman"/>
          <w:color w:val="auto"/>
          <w:sz w:val="24"/>
          <w:szCs w:val="24"/>
        </w:rPr>
        <w:t>управлением и распоряжением муниципальной собственностью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6F88540D" w14:textId="77777777" w:rsidR="00562B56" w:rsidRPr="006451E0" w:rsidRDefault="00562B56" w:rsidP="00562B56">
      <w:pPr>
        <w:pStyle w:val="11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451E0">
        <w:rPr>
          <w:rFonts w:ascii="Times New Roman" w:hAnsi="Times New Roman" w:cs="Times New Roman"/>
          <w:color w:val="auto"/>
          <w:sz w:val="24"/>
          <w:szCs w:val="24"/>
        </w:rPr>
        <w:t>- контроль за реализацией национальных проектов;</w:t>
      </w:r>
    </w:p>
    <w:p w14:paraId="5C0D5FD8" w14:textId="77777777" w:rsidR="00562B56" w:rsidRPr="006451E0" w:rsidRDefault="00562B56" w:rsidP="00562B56">
      <w:pPr>
        <w:pStyle w:val="11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451E0">
        <w:rPr>
          <w:rFonts w:ascii="Times New Roman" w:hAnsi="Times New Roman" w:cs="Times New Roman"/>
          <w:color w:val="auto"/>
          <w:sz w:val="24"/>
          <w:szCs w:val="24"/>
        </w:rPr>
        <w:t>- аудит в сфере закупок;</w:t>
      </w:r>
    </w:p>
    <w:p w14:paraId="0822DBAE" w14:textId="77777777" w:rsidR="00562B56" w:rsidRDefault="00562B56" w:rsidP="00562B56">
      <w:pPr>
        <w:pStyle w:val="11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- экспертиза проектов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местного бюджета и 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муниципальных правовых актов в части, касающейся расходных обязательств города, </w:t>
      </w:r>
      <w:r>
        <w:rPr>
          <w:rFonts w:ascii="Times New Roman" w:hAnsi="Times New Roman" w:cs="Times New Roman"/>
          <w:color w:val="auto"/>
          <w:sz w:val="24"/>
          <w:szCs w:val="24"/>
        </w:rPr>
        <w:t>а также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приводящих к изменению доходов бюджета города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3C525F81" w14:textId="77777777" w:rsidR="00562B56" w:rsidRPr="006451E0" w:rsidRDefault="00562B56" w:rsidP="00562B56">
      <w:pPr>
        <w:pStyle w:val="11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 контроль за использованием бюджетных средств бюджетополучателями.</w:t>
      </w:r>
    </w:p>
    <w:p w14:paraId="3F26A1AB" w14:textId="77777777" w:rsidR="00562B56" w:rsidRPr="0065343F" w:rsidRDefault="00562B56" w:rsidP="00562B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14:paraId="4814F3BD" w14:textId="77777777" w:rsidR="00562B56" w:rsidRPr="006451E0" w:rsidRDefault="00562B56" w:rsidP="00562B56">
      <w:pPr>
        <w:pStyle w:val="11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планом работы КСП на </w:t>
      </w:r>
      <w:r>
        <w:rPr>
          <w:rFonts w:ascii="Times New Roman" w:hAnsi="Times New Roman" w:cs="Times New Roman"/>
          <w:color w:val="auto"/>
          <w:sz w:val="24"/>
          <w:szCs w:val="24"/>
        </w:rPr>
        <w:t>2025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год Палатой проведено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49 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контрольных и экспертно-аналитических мероприятий, в том числе </w:t>
      </w:r>
      <w:r>
        <w:rPr>
          <w:rFonts w:ascii="Times New Roman" w:hAnsi="Times New Roman" w:cs="Times New Roman"/>
          <w:color w:val="auto"/>
          <w:sz w:val="24"/>
          <w:szCs w:val="24"/>
        </w:rPr>
        <w:t>16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контрольных и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33 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>экспертно-аналитических мероприятий, по результатам которых было подготовлено:</w:t>
      </w:r>
    </w:p>
    <w:p w14:paraId="66D77299" w14:textId="77777777" w:rsidR="00562B56" w:rsidRPr="006451E0" w:rsidRDefault="00562B56" w:rsidP="00562B56">
      <w:pPr>
        <w:pStyle w:val="11"/>
        <w:ind w:firstLine="709"/>
        <w:rPr>
          <w:rFonts w:ascii="Times New Roman" w:hAnsi="Times New Roman" w:cs="Times New Roman"/>
          <w:color w:val="auto"/>
          <w:sz w:val="16"/>
          <w:szCs w:val="16"/>
        </w:rPr>
      </w:pPr>
    </w:p>
    <w:p w14:paraId="725448B9" w14:textId="77777777" w:rsidR="00562B56" w:rsidRPr="006451E0" w:rsidRDefault="00562B56" w:rsidP="00562B56">
      <w:pPr>
        <w:pStyle w:val="11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451E0">
        <w:rPr>
          <w:rFonts w:ascii="Times New Roman" w:hAnsi="Times New Roman" w:cs="Times New Roman"/>
          <w:color w:val="auto"/>
          <w:sz w:val="24"/>
          <w:szCs w:val="24"/>
        </w:rPr>
        <w:t>- 2</w:t>
      </w:r>
      <w:r>
        <w:rPr>
          <w:rFonts w:ascii="Times New Roman" w:hAnsi="Times New Roman" w:cs="Times New Roman"/>
          <w:color w:val="auto"/>
          <w:sz w:val="24"/>
          <w:szCs w:val="24"/>
        </w:rPr>
        <w:t>0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color w:val="auto"/>
          <w:sz w:val="24"/>
          <w:szCs w:val="24"/>
        </w:rPr>
        <w:t>ов по результатам контрольных мероприятий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2676C5B0" w14:textId="77777777" w:rsidR="00562B56" w:rsidRDefault="00562B56" w:rsidP="00562B56">
      <w:pPr>
        <w:pStyle w:val="11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451E0">
        <w:rPr>
          <w:rFonts w:ascii="Times New Roman" w:hAnsi="Times New Roman" w:cs="Times New Roman"/>
          <w:color w:val="auto"/>
          <w:sz w:val="24"/>
          <w:szCs w:val="24"/>
        </w:rPr>
        <w:t>- </w:t>
      </w:r>
      <w:r>
        <w:rPr>
          <w:rFonts w:ascii="Times New Roman" w:hAnsi="Times New Roman" w:cs="Times New Roman"/>
          <w:color w:val="auto"/>
          <w:sz w:val="24"/>
          <w:szCs w:val="24"/>
        </w:rPr>
        <w:t>16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отчет</w:t>
      </w:r>
      <w:r>
        <w:rPr>
          <w:rFonts w:ascii="Times New Roman" w:hAnsi="Times New Roman" w:cs="Times New Roman"/>
          <w:color w:val="auto"/>
          <w:sz w:val="24"/>
          <w:szCs w:val="24"/>
        </w:rPr>
        <w:t>ов по результатам контрольных мероприятий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</w:p>
    <w:p w14:paraId="358ABABE" w14:textId="77777777" w:rsidR="00562B56" w:rsidRPr="006451E0" w:rsidRDefault="00562B56" w:rsidP="00562B56">
      <w:pPr>
        <w:pStyle w:val="11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451E0">
        <w:rPr>
          <w:rFonts w:ascii="Times New Roman" w:hAnsi="Times New Roman" w:cs="Times New Roman"/>
          <w:color w:val="auto"/>
          <w:sz w:val="24"/>
          <w:szCs w:val="24"/>
        </w:rPr>
        <w:t>- 1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отчетов по результатам экспертно-аналитических мероприятий;</w:t>
      </w:r>
    </w:p>
    <w:p w14:paraId="262AE1A4" w14:textId="77777777" w:rsidR="00562B56" w:rsidRDefault="00562B56" w:rsidP="00562B56">
      <w:pPr>
        <w:pStyle w:val="11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451E0">
        <w:rPr>
          <w:rFonts w:ascii="Times New Roman" w:hAnsi="Times New Roman" w:cs="Times New Roman"/>
          <w:color w:val="auto"/>
          <w:sz w:val="24"/>
          <w:szCs w:val="24"/>
        </w:rPr>
        <w:t>- </w:t>
      </w:r>
      <w:r>
        <w:rPr>
          <w:rFonts w:ascii="Times New Roman" w:hAnsi="Times New Roman" w:cs="Times New Roman"/>
          <w:color w:val="auto"/>
          <w:sz w:val="24"/>
          <w:szCs w:val="24"/>
        </w:rPr>
        <w:t>22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заключени</w:t>
      </w:r>
      <w:r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561F2984" w14:textId="77777777" w:rsidR="00562B56" w:rsidRDefault="00562B56" w:rsidP="00562B56">
      <w:pPr>
        <w:pStyle w:val="11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- 12 представлений;</w:t>
      </w:r>
    </w:p>
    <w:p w14:paraId="04889E19" w14:textId="77777777" w:rsidR="00562B56" w:rsidRPr="006451E0" w:rsidRDefault="00562B56" w:rsidP="00562B56">
      <w:pPr>
        <w:pStyle w:val="11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- 2 аналитические информации.</w:t>
      </w:r>
    </w:p>
    <w:p w14:paraId="0825E334" w14:textId="77777777" w:rsidR="00562B56" w:rsidRPr="0065343F" w:rsidRDefault="00562B56" w:rsidP="0056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14:paraId="3089E542" w14:textId="77777777" w:rsidR="00562B56" w:rsidRPr="0065343F" w:rsidRDefault="00562B56" w:rsidP="0056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Заключения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и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отчеты 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 проведенным экспертно-аналитическим мероприятиям, отчеты по результатам контрольных мероприятий направлялись в Собрание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города Обнинска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и Администрацию города Обнинска.</w:t>
      </w:r>
    </w:p>
    <w:p w14:paraId="352CE4A0" w14:textId="77777777" w:rsidR="00562B56" w:rsidRPr="0065343F" w:rsidRDefault="00562B56" w:rsidP="0056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соглашением о взаимодействии отчеты по результатам всех контрольных мероприятий также направлялись в Прокуратуру города Обнинска. </w:t>
      </w:r>
    </w:p>
    <w:p w14:paraId="164BAB30" w14:textId="77777777" w:rsidR="00562B56" w:rsidRPr="0065343F" w:rsidRDefault="00562B56" w:rsidP="0056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Ежеквартально информация о деятельности КСП направлялась в Собрание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города Обнинска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и Администрацию города Обнинска, размещалась на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странице КСП 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сайт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Собрания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города Обнинска 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hyperlink r:id="rId6" w:history="1">
        <w:r w:rsidRPr="0065343F">
          <w:rPr>
            <w:rStyle w:val="af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http://www.gs-obninsk.ru</w:t>
        </w:r>
      </w:hyperlink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</w:t>
      </w:r>
    </w:p>
    <w:p w14:paraId="6FF31AD7" w14:textId="77777777" w:rsidR="00562B56" w:rsidRPr="0065343F" w:rsidRDefault="00562B56" w:rsidP="00562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59921B" w14:textId="77777777" w:rsidR="00562B56" w:rsidRPr="00DE32D4" w:rsidRDefault="00562B56" w:rsidP="00562B56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color w:val="2A6727"/>
          <w:sz w:val="26"/>
          <w:szCs w:val="26"/>
        </w:rPr>
      </w:pPr>
      <w:r w:rsidRPr="00DE32D4">
        <w:rPr>
          <w:rFonts w:ascii="Times New Roman" w:hAnsi="Times New Roman" w:cs="Times New Roman"/>
          <w:b/>
          <w:color w:val="2A6727"/>
          <w:sz w:val="26"/>
          <w:szCs w:val="26"/>
        </w:rPr>
        <w:t>Контрольная деятельность</w:t>
      </w:r>
    </w:p>
    <w:p w14:paraId="7346F424" w14:textId="77777777" w:rsidR="00562B56" w:rsidRPr="0065343F" w:rsidRDefault="00562B56" w:rsidP="00562B56">
      <w:pPr>
        <w:spacing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2025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году Палатой было проведено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16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контрольных мероприяти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й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, включая внешнюю проверку годовой бюджетной отчетности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всех 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главных администраторов бюджетных средств за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2024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год и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проверку </w:t>
      </w:r>
      <w:r w:rsidRPr="00DC61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бюджетной отчетности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одного</w:t>
      </w:r>
      <w:r w:rsidRPr="00DC61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главн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ого</w:t>
      </w:r>
      <w:r w:rsidRPr="00DC61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администратор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</w:t>
      </w:r>
      <w:r w:rsidRPr="00DC61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бюджетных средств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за 9 месяцев 2025 года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</w:t>
      </w:r>
    </w:p>
    <w:p w14:paraId="0410FD39" w14:textId="77777777" w:rsidR="00562B56" w:rsidRPr="006451E0" w:rsidRDefault="00562B56" w:rsidP="00562B56">
      <w:pPr>
        <w:pStyle w:val="11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Контрольными мероприятиями был охвачен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21 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>объект, в том числе:</w:t>
      </w:r>
    </w:p>
    <w:p w14:paraId="1ACF15CD" w14:textId="77777777" w:rsidR="00562B56" w:rsidRPr="006451E0" w:rsidRDefault="00562B56" w:rsidP="00562B56">
      <w:pPr>
        <w:pStyle w:val="11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- в </w:t>
      </w:r>
      <w:r>
        <w:rPr>
          <w:rFonts w:ascii="Times New Roman" w:hAnsi="Times New Roman" w:cs="Times New Roman"/>
          <w:color w:val="auto"/>
          <w:sz w:val="24"/>
          <w:szCs w:val="24"/>
        </w:rPr>
        <w:t>13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случаях объектами проверки были органы местного самоуправления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и их структурные подразделения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158425C1" w14:textId="77777777" w:rsidR="00562B56" w:rsidRPr="006451E0" w:rsidRDefault="00562B56" w:rsidP="00562B56">
      <w:pPr>
        <w:pStyle w:val="11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- в </w:t>
      </w:r>
      <w:r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случаях </w:t>
      </w:r>
      <w:r w:rsidRPr="00B43F0B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муниципальные учреждения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9A90D25" w14:textId="77777777" w:rsidR="00562B56" w:rsidRDefault="00562B56" w:rsidP="00562B56">
      <w:pPr>
        <w:pStyle w:val="11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14:paraId="356A087A" w14:textId="77777777" w:rsidR="00562B56" w:rsidRPr="006451E0" w:rsidRDefault="00562B56" w:rsidP="00562B56">
      <w:pPr>
        <w:pStyle w:val="11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BB0B20">
        <w:rPr>
          <w:rFonts w:ascii="Times New Roman" w:hAnsi="Times New Roman" w:cs="Times New Roman"/>
          <w:color w:val="auto"/>
          <w:sz w:val="24"/>
          <w:szCs w:val="24"/>
        </w:rPr>
        <w:t>По итогам контрольной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деятельности КСП было составлено 20 актов, 16 отчетов и направлено 12 представлений.</w:t>
      </w:r>
    </w:p>
    <w:p w14:paraId="3FD40776" w14:textId="77777777" w:rsidR="00562B56" w:rsidRDefault="00562B56" w:rsidP="00562B56">
      <w:pPr>
        <w:pStyle w:val="11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Объем проверенных средств составил </w:t>
      </w:r>
      <w:r w:rsidRPr="00B122E1">
        <w:rPr>
          <w:rFonts w:ascii="Times New Roman" w:hAnsi="Times New Roman" w:cs="Times New Roman"/>
          <w:color w:val="auto"/>
          <w:sz w:val="24"/>
          <w:szCs w:val="24"/>
        </w:rPr>
        <w:t>8</w:t>
      </w:r>
      <w:r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B122E1">
        <w:rPr>
          <w:rFonts w:ascii="Times New Roman" w:hAnsi="Times New Roman" w:cs="Times New Roman"/>
          <w:color w:val="auto"/>
          <w:sz w:val="24"/>
          <w:szCs w:val="24"/>
        </w:rPr>
        <w:t>651</w:t>
      </w:r>
      <w:r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B122E1">
        <w:rPr>
          <w:rFonts w:ascii="Times New Roman" w:hAnsi="Times New Roman" w:cs="Times New Roman"/>
          <w:color w:val="auto"/>
          <w:sz w:val="24"/>
          <w:szCs w:val="24"/>
        </w:rPr>
        <w:t>963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B122E1">
        <w:rPr>
          <w:rFonts w:ascii="Times New Roman" w:hAnsi="Times New Roman" w:cs="Times New Roman"/>
          <w:color w:val="auto"/>
          <w:sz w:val="24"/>
          <w:szCs w:val="24"/>
        </w:rPr>
        <w:t>7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тыс. рублей, из них: </w:t>
      </w:r>
      <w:r w:rsidRPr="00B122E1">
        <w:rPr>
          <w:rFonts w:ascii="Times New Roman" w:hAnsi="Times New Roman" w:cs="Times New Roman"/>
          <w:color w:val="auto"/>
          <w:sz w:val="24"/>
          <w:szCs w:val="24"/>
        </w:rPr>
        <w:t>8</w:t>
      </w:r>
      <w:r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B122E1">
        <w:rPr>
          <w:rFonts w:ascii="Times New Roman" w:hAnsi="Times New Roman" w:cs="Times New Roman"/>
          <w:color w:val="auto"/>
          <w:sz w:val="24"/>
          <w:szCs w:val="24"/>
        </w:rPr>
        <w:t>565</w:t>
      </w:r>
      <w:r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B122E1">
        <w:rPr>
          <w:rFonts w:ascii="Times New Roman" w:hAnsi="Times New Roman" w:cs="Times New Roman"/>
          <w:color w:val="auto"/>
          <w:sz w:val="24"/>
          <w:szCs w:val="24"/>
        </w:rPr>
        <w:t>044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B122E1">
        <w:rPr>
          <w:rFonts w:ascii="Times New Roman" w:hAnsi="Times New Roman" w:cs="Times New Roman"/>
          <w:color w:val="auto"/>
          <w:sz w:val="24"/>
          <w:szCs w:val="24"/>
        </w:rPr>
        <w:t>1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тыс. рублей – бюджетные средства, 78 373,2 тыс. рублей – стоимость муниципального имущества.</w:t>
      </w:r>
    </w:p>
    <w:p w14:paraId="442F1D39" w14:textId="77777777" w:rsidR="00562B56" w:rsidRDefault="00562B56" w:rsidP="00562B56">
      <w:pPr>
        <w:pStyle w:val="11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14:paraId="5E80E800" w14:textId="77777777" w:rsidR="00562B56" w:rsidRDefault="00562B56" w:rsidP="00562B56">
      <w:pPr>
        <w:pStyle w:val="11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C04CA5">
        <w:rPr>
          <w:rFonts w:ascii="Times New Roman" w:hAnsi="Times New Roman" w:cs="Times New Roman"/>
          <w:color w:val="auto"/>
          <w:sz w:val="24"/>
          <w:szCs w:val="24"/>
        </w:rPr>
        <w:t xml:space="preserve">КСП в целях классификации нарушений руководствуется Классификатором нарушений, выявляемых в ходе внешнего государственного финансового контроля,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утвержденного Контрольно-счетной палатой Калужской области в редакции от 22.12.2023 (на базе </w:t>
      </w:r>
      <w:r w:rsidRPr="00C04CA5">
        <w:rPr>
          <w:rFonts w:ascii="Times New Roman" w:hAnsi="Times New Roman" w:cs="Times New Roman"/>
          <w:color w:val="auto"/>
          <w:sz w:val="24"/>
          <w:szCs w:val="24"/>
        </w:rPr>
        <w:t>одобренного Советом контрольно-счетных органов при Счетн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ой палате Российской Федерации </w:t>
      </w:r>
      <w:r w:rsidRPr="00C04CA5">
        <w:rPr>
          <w:rFonts w:ascii="Times New Roman" w:hAnsi="Times New Roman" w:cs="Times New Roman"/>
          <w:color w:val="auto"/>
          <w:sz w:val="24"/>
          <w:szCs w:val="24"/>
        </w:rPr>
        <w:t>22.12.2021, протокол № 11-СКСО</w:t>
      </w:r>
      <w:r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C04CA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2512F1B" w14:textId="77777777" w:rsidR="00562B56" w:rsidRPr="006451E0" w:rsidRDefault="00562B56" w:rsidP="00562B56">
      <w:pPr>
        <w:pStyle w:val="11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F0185">
        <w:rPr>
          <w:rFonts w:ascii="Times New Roman" w:hAnsi="Times New Roman" w:cs="Times New Roman"/>
          <w:color w:val="auto"/>
          <w:sz w:val="24"/>
          <w:szCs w:val="24"/>
        </w:rPr>
        <w:t xml:space="preserve">По итогам контрольных мероприятий выявлено </w:t>
      </w:r>
      <w:r>
        <w:rPr>
          <w:rFonts w:ascii="Times New Roman" w:hAnsi="Times New Roman" w:cs="Times New Roman"/>
          <w:color w:val="auto"/>
          <w:sz w:val="24"/>
          <w:szCs w:val="24"/>
        </w:rPr>
        <w:t>349</w:t>
      </w:r>
      <w:r w:rsidRPr="008F0185">
        <w:rPr>
          <w:rFonts w:ascii="Times New Roman" w:hAnsi="Times New Roman" w:cs="Times New Roman"/>
          <w:color w:val="auto"/>
          <w:sz w:val="24"/>
          <w:szCs w:val="24"/>
        </w:rPr>
        <w:t xml:space="preserve"> нарушени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й, в том числе: 245 нарушений, не имеющих стоимостной оценки, 104 нарушения, имеющих стоимостную </w:t>
      </w: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оценку, на общую сумму 44 776,7 тыс. рублей,</w:t>
      </w:r>
      <w:r w:rsidRPr="008F0FF5">
        <w:rPr>
          <w:rFonts w:ascii="Times New Roman" w:hAnsi="Times New Roman" w:cs="Times New Roman"/>
          <w:color w:val="auto"/>
          <w:sz w:val="24"/>
          <w:szCs w:val="24"/>
        </w:rPr>
        <w:t xml:space="preserve"> из них </w:t>
      </w:r>
      <w:r>
        <w:rPr>
          <w:rFonts w:ascii="Times New Roman" w:hAnsi="Times New Roman" w:cs="Times New Roman"/>
          <w:color w:val="auto"/>
          <w:sz w:val="24"/>
          <w:szCs w:val="24"/>
        </w:rPr>
        <w:t>предложено к</w:t>
      </w:r>
      <w:r w:rsidRPr="008F0F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возмещению</w:t>
      </w:r>
      <w:r w:rsidRPr="008F0FF5">
        <w:rPr>
          <w:rFonts w:ascii="Times New Roman" w:hAnsi="Times New Roman" w:cs="Times New Roman"/>
          <w:color w:val="auto"/>
          <w:sz w:val="24"/>
          <w:szCs w:val="24"/>
        </w:rPr>
        <w:t xml:space="preserve"> в бюджет </w:t>
      </w:r>
      <w:r>
        <w:rPr>
          <w:rFonts w:ascii="Times New Roman" w:hAnsi="Times New Roman" w:cs="Times New Roman"/>
          <w:color w:val="auto"/>
          <w:sz w:val="24"/>
          <w:szCs w:val="24"/>
        </w:rPr>
        <w:t>- 2 912,8</w:t>
      </w:r>
      <w:r w:rsidRPr="008F0F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тыс.</w:t>
      </w:r>
      <w:r w:rsidRPr="008F0FF5">
        <w:rPr>
          <w:rFonts w:ascii="Times New Roman" w:hAnsi="Times New Roman" w:cs="Times New Roman"/>
          <w:color w:val="auto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auto"/>
          <w:sz w:val="24"/>
          <w:szCs w:val="24"/>
        </w:rPr>
        <w:t>, из которых 1 228,5 тыс. рублей возмещены в бюджет в отчетном периоде, оставшаяся сумма 1 684,3 тыс. рублей будет возмещена в 2026-2028 годах согласно графику погашения</w:t>
      </w:r>
      <w:r w:rsidRPr="008F0FF5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F88CFE3" w14:textId="77777777" w:rsidR="00562B56" w:rsidRDefault="00562B56" w:rsidP="00562B56">
      <w:pPr>
        <w:pStyle w:val="11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>ыявленны</w:t>
      </w:r>
      <w:r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нарушени</w:t>
      </w:r>
      <w:r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в ходе </w:t>
      </w:r>
      <w:r>
        <w:rPr>
          <w:rFonts w:ascii="Times New Roman" w:hAnsi="Times New Roman" w:cs="Times New Roman"/>
          <w:color w:val="auto"/>
          <w:sz w:val="24"/>
          <w:szCs w:val="24"/>
        </w:rPr>
        <w:t>контрольных мероприятий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color w:val="auto"/>
          <w:sz w:val="24"/>
          <w:szCs w:val="24"/>
        </w:rPr>
        <w:t>ы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нарушениями:</w:t>
      </w:r>
    </w:p>
    <w:p w14:paraId="4E9C1054" w14:textId="77777777" w:rsidR="00562B56" w:rsidRPr="009E1A8D" w:rsidRDefault="00562B56" w:rsidP="00562B56">
      <w:pPr>
        <w:pStyle w:val="11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 </w:t>
      </w:r>
      <w:r w:rsidRPr="009E1A8D">
        <w:rPr>
          <w:rFonts w:ascii="Times New Roman" w:hAnsi="Times New Roman" w:cs="Times New Roman"/>
          <w:color w:val="auto"/>
          <w:sz w:val="24"/>
          <w:szCs w:val="24"/>
        </w:rPr>
        <w:t>ведения бухгалтерского учета, а также требований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к бюджетной, бухгалтерской отчетности </w:t>
      </w:r>
      <w:r w:rsidRPr="009E1A8D">
        <w:rPr>
          <w:rFonts w:ascii="Times New Roman" w:hAnsi="Times New Roman" w:cs="Times New Roman"/>
          <w:color w:val="auto"/>
          <w:sz w:val="24"/>
          <w:szCs w:val="24"/>
        </w:rPr>
        <w:t>(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43,6% выявленных </w:t>
      </w:r>
      <w:r w:rsidRPr="009E1A8D">
        <w:rPr>
          <w:rFonts w:ascii="Times New Roman" w:hAnsi="Times New Roman" w:cs="Times New Roman"/>
          <w:color w:val="auto"/>
          <w:sz w:val="24"/>
          <w:szCs w:val="24"/>
        </w:rPr>
        <w:t>нарушени</w:t>
      </w:r>
      <w:r>
        <w:rPr>
          <w:rFonts w:ascii="Times New Roman" w:hAnsi="Times New Roman" w:cs="Times New Roman"/>
          <w:color w:val="auto"/>
          <w:sz w:val="24"/>
          <w:szCs w:val="24"/>
        </w:rPr>
        <w:t>й</w:t>
      </w:r>
      <w:r w:rsidRPr="009E1A8D">
        <w:rPr>
          <w:rFonts w:ascii="Times New Roman" w:hAnsi="Times New Roman" w:cs="Times New Roman"/>
          <w:color w:val="auto"/>
          <w:sz w:val="24"/>
          <w:szCs w:val="24"/>
        </w:rPr>
        <w:t>)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542B50B0" w14:textId="77777777" w:rsidR="00562B56" w:rsidRDefault="00562B56" w:rsidP="00562B56">
      <w:pPr>
        <w:pStyle w:val="11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9E1A8D">
        <w:rPr>
          <w:rFonts w:ascii="Times New Roman" w:hAnsi="Times New Roman" w:cs="Times New Roman"/>
          <w:color w:val="auto"/>
          <w:sz w:val="24"/>
          <w:szCs w:val="24"/>
        </w:rPr>
        <w:t>-</w:t>
      </w:r>
      <w:r>
        <w:rPr>
          <w:rFonts w:ascii="Times New Roman" w:hAnsi="Times New Roman" w:cs="Times New Roman"/>
          <w:color w:val="auto"/>
          <w:sz w:val="24"/>
          <w:szCs w:val="24"/>
        </w:rPr>
        <w:t> требований при осуществлении муниципальных закупок</w:t>
      </w:r>
      <w:r w:rsidRPr="009E1A8D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24,4% выявленных </w:t>
      </w:r>
      <w:r w:rsidRPr="009E1A8D">
        <w:rPr>
          <w:rFonts w:ascii="Times New Roman" w:hAnsi="Times New Roman" w:cs="Times New Roman"/>
          <w:color w:val="auto"/>
          <w:sz w:val="24"/>
          <w:szCs w:val="24"/>
        </w:rPr>
        <w:t>нарушени</w:t>
      </w:r>
      <w:r>
        <w:rPr>
          <w:rFonts w:ascii="Times New Roman" w:hAnsi="Times New Roman" w:cs="Times New Roman"/>
          <w:color w:val="auto"/>
          <w:sz w:val="24"/>
          <w:szCs w:val="24"/>
        </w:rPr>
        <w:t>й</w:t>
      </w:r>
      <w:r w:rsidRPr="009E1A8D">
        <w:rPr>
          <w:rFonts w:ascii="Times New Roman" w:hAnsi="Times New Roman" w:cs="Times New Roman"/>
          <w:color w:val="auto"/>
          <w:sz w:val="24"/>
          <w:szCs w:val="24"/>
        </w:rPr>
        <w:t>)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1CC3588A" w14:textId="77777777" w:rsidR="00562B56" w:rsidRDefault="00562B56" w:rsidP="00562B56">
      <w:pPr>
        <w:pStyle w:val="11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 в ходе исполнения бюджета </w:t>
      </w:r>
      <w:r w:rsidRPr="00A11563">
        <w:rPr>
          <w:rFonts w:ascii="Times New Roman" w:hAnsi="Times New Roman" w:cs="Times New Roman"/>
          <w:color w:val="auto"/>
          <w:sz w:val="24"/>
          <w:szCs w:val="24"/>
        </w:rPr>
        <w:t>(</w:t>
      </w:r>
      <w:r>
        <w:rPr>
          <w:rFonts w:ascii="Times New Roman" w:hAnsi="Times New Roman" w:cs="Times New Roman"/>
          <w:color w:val="auto"/>
          <w:sz w:val="24"/>
          <w:szCs w:val="24"/>
        </w:rPr>
        <w:t>17,2</w:t>
      </w:r>
      <w:r w:rsidRPr="00A11563">
        <w:rPr>
          <w:rFonts w:ascii="Times New Roman" w:hAnsi="Times New Roman" w:cs="Times New Roman"/>
          <w:color w:val="auto"/>
          <w:sz w:val="24"/>
          <w:szCs w:val="24"/>
        </w:rPr>
        <w:t>% выявленных нарушений)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0D286F7E" w14:textId="77777777" w:rsidR="00562B56" w:rsidRDefault="00562B56" w:rsidP="00562B56">
      <w:pPr>
        <w:pStyle w:val="11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 в сфере управления и распоряжения муниципальной собственностью (11,7% </w:t>
      </w:r>
      <w:r w:rsidRPr="00BB0B20">
        <w:rPr>
          <w:rFonts w:ascii="Times New Roman" w:hAnsi="Times New Roman" w:cs="Times New Roman"/>
          <w:color w:val="auto"/>
          <w:sz w:val="24"/>
          <w:szCs w:val="24"/>
        </w:rPr>
        <w:t>выявленных нарушений</w:t>
      </w:r>
      <w:r>
        <w:rPr>
          <w:rFonts w:ascii="Times New Roman" w:hAnsi="Times New Roman" w:cs="Times New Roman"/>
          <w:color w:val="auto"/>
          <w:sz w:val="24"/>
          <w:szCs w:val="24"/>
        </w:rPr>
        <w:t>);</w:t>
      </w:r>
    </w:p>
    <w:p w14:paraId="6349E194" w14:textId="77777777" w:rsidR="00562B56" w:rsidRDefault="00562B56" w:rsidP="00562B56">
      <w:pPr>
        <w:pStyle w:val="11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 нецелевое использование бюджетных средств (3,1% выявленных нарушений).</w:t>
      </w:r>
    </w:p>
    <w:p w14:paraId="245FDC6F" w14:textId="77777777" w:rsidR="00562B56" w:rsidRPr="0065343F" w:rsidRDefault="00562B56" w:rsidP="0056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14:paraId="0C9856DC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 В 2025 году Палатой </w:t>
      </w:r>
      <w:r w:rsidRPr="006534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3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53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65343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902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отдельных вопросов финансово-хозяйственной деятельности муниципального автономного учреждения «Дом культуры ФЭИ» в период 2023-2024 годов</w:t>
      </w:r>
      <w:r w:rsidRPr="0065343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48E2CE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проверенных средств составил 141 679,6 тыс. рублей.</w:t>
      </w:r>
      <w:r w:rsidRPr="006A2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контрольного мероприятия выявлено 182 нарушения, 50 из которых, имеющих стоимостную оценку, на общую сумму 27 923,0 тыс. рублей </w:t>
      </w:r>
      <w:r w:rsidRPr="00F45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(из них средства, подлежащие возмещению в бюджет города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937,9</w:t>
      </w:r>
      <w:r w:rsidRPr="00F45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14:paraId="4631CB1B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- 35 нарушений в ходе исполнения бюджета, 16 из которых, имеющих стоимостную оценку, на общую сумму 937,8 тыс. рублей (4 нарушения </w:t>
      </w:r>
      <w:r w:rsidRPr="006377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формирования и (или) финансового обеспечения выполнения муници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r w:rsidRPr="00637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на оказание муниципальных услуг (выполнение работ)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11 нарушений р</w:t>
      </w:r>
      <w:r w:rsidRPr="006377C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асходовани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37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(использовани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377C5">
        <w:rPr>
          <w:rFonts w:ascii="Times New Roman" w:eastAsia="Times New Roman" w:hAnsi="Times New Roman" w:cs="Times New Roman"/>
          <w:sz w:val="24"/>
          <w:szCs w:val="24"/>
          <w:lang w:eastAsia="ru-RU"/>
        </w:rPr>
        <w:t>) муниципальными автономными учреждениями субсидии на финансовое обеспечение выполнения муниципального задания на цели, не связанные с выполнением муниципального задания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(нецелевое использование бюджетных средств) на 277,2 тыс. рублей; 9 нарушений </w:t>
      </w:r>
      <w:r w:rsidRPr="00B77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порядка и (или) условий предоставления из бюджетов бюджетной системы субсидий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автономным учреждениям на иные цели; 9 нарушений порядка и условий труда работников муниципальных автономных учреждений, 5 из которых на 660,6 тыс. рублей; 2 нарушения</w:t>
      </w:r>
      <w:r w:rsidRPr="007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72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формирования и исполнения плана финансово-хозяйственной деятельности муниципальным автономным учреждением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7F49B594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- 90 нарушений ведения бухгалтерского учета и предоставления бухгалтерской отчетности, 33 из которых на общую сумму 26 725,5 тыс. рублей (4 нарушения требований организации </w:t>
      </w:r>
      <w:r w:rsidRPr="007D643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бухгалтерского учета</w:t>
      </w:r>
      <w:r w:rsidRPr="00CB72FA">
        <w:t xml:space="preserve"> </w:t>
      </w:r>
      <w:r w:rsidRPr="00CB72FA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 документов бухгалтерского учета и требований по формированию учетной политики</w:t>
      </w:r>
      <w:r w:rsidRPr="007D64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нарушений требований, предъявляемых к оформлению </w:t>
      </w:r>
      <w:r w:rsidRPr="00CB72F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фактов хозяйственной жизни экономического субъекта первичными учетными документами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A0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нарушений </w:t>
      </w:r>
      <w:r w:rsidRPr="00B77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порядка и условий оплаты труда сотрудников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автономных учреждений; 15 нарушений </w:t>
      </w:r>
      <w:r w:rsidRPr="00793FC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требований, предъявляемых к проведению инвентаризации активов и обязательств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1 нарушение </w:t>
      </w:r>
      <w:r w:rsidRPr="00793FC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требований, предъявляемых к организации и осуществлению внутреннего контроля фактов хозяйственной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23 нарушения </w:t>
      </w:r>
      <w:r w:rsidRPr="00793F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работы с денежной наличностью и порядка ведения кассовых операций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32 нарушения </w:t>
      </w:r>
      <w:r w:rsidRPr="00793FC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требований, предъявляемых к правилам ведения бюджетного (бухгалтерского) учета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14:paraId="49C7E8C0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129">
        <w:rPr>
          <w:rFonts w:ascii="Times New Roman" w:eastAsia="Times New Roman" w:hAnsi="Times New Roman" w:cs="Times New Roman"/>
          <w:sz w:val="24"/>
          <w:szCs w:val="24"/>
          <w:lang w:eastAsia="ru-RU"/>
        </w:rPr>
        <w:t>- 39 нарушений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управления и распоряжения муниципальной собственностью, 8 из которых на общую сумму 214,4 тыс. рублей (28 нарушений </w:t>
      </w:r>
      <w:r w:rsidRPr="002A01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распоряжения имуществом автономного 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9 нарушений </w:t>
      </w:r>
      <w:r w:rsidRPr="002A01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отнесения имущества автономного учреждения к категории особо ценного движимого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8 из которых на 214,4 тыс. рублей; 2 нарушения </w:t>
      </w:r>
      <w:r w:rsidRPr="002A01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оформлении прав на объекты муниципальной казны и выбытии объектов из казны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1538DC81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4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9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нарушений при осуществлении закупок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 из которых на 45,3 тыс. рублей </w:t>
      </w:r>
      <w:r w:rsidRPr="0009543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09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н</w:t>
      </w:r>
      <w:r w:rsidRPr="002A01D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есоблюдение принципов и основных положений о закупке товаров, работ, услуг отдельными видами юридических лиц, в том числе порядка заключения и исполнения договоров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1 из которых – неэффективные расходы на 45,3 тыс. рублей;</w:t>
      </w:r>
      <w:r w:rsidRPr="0009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9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– </w:t>
      </w:r>
      <w:r w:rsidRPr="002A01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акта, регламентирующего правила закупки товаров, работ,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A0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установленным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1 нарушение</w:t>
      </w:r>
      <w:r w:rsidRPr="002A0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9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размещение с нарушением срока в единой информационной системе в сфере закупок информации о закупке, размещение которой предусмотрено законодательством Российской Федерации о закупках товаров, работ, услуг отдельными видами юридических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1 нарушение </w:t>
      </w:r>
      <w:r w:rsidRPr="0058288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установленного порядка, требований к осуществлению закупок товаров, работ, услуг отдельными видами юридических лиц</w:t>
      </w:r>
      <w:r w:rsidRPr="0009543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416FF0AB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устранения выявленных нарушений КСП было направлено представление директору </w:t>
      </w:r>
      <w:r w:rsidRPr="00DC06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автономного учреждения «Дом культуры ФЭИ»</w:t>
      </w:r>
      <w:r w:rsidRPr="0024399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3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о принятии мер по устранению выявленных нарушений и недостатков,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предъявлено к возмещению в бюджет города неправомерно использованных бюджетных средств в размере 937,9 тыс. рублей</w:t>
      </w:r>
      <w:r w:rsidRPr="00FD31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70A59C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 по результатам контрольного мероприятия, в</w:t>
      </w:r>
      <w:r w:rsidRPr="00773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Кодексом Российской Федерации об административных правонарушениях (далее – КоАП РФ)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73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составлено 2 протокола об административных правонарушениях (в отношении одного юридического лица по ст. 15.14 КоАП РФ и одного должностного лица по ч. 1 ст. 15.1 КоАП РФ), по которым судами вынесены постановления о применении</w:t>
      </w:r>
      <w:r w:rsidRPr="00773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наказания в виде</w:t>
      </w:r>
      <w:r w:rsidRPr="00773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общей сумме </w:t>
      </w:r>
      <w:r w:rsidRPr="005811A5">
        <w:rPr>
          <w:rFonts w:ascii="Times New Roman" w:eastAsia="Times New Roman" w:hAnsi="Times New Roman" w:cs="Times New Roman"/>
          <w:sz w:val="24"/>
          <w:szCs w:val="24"/>
          <w:lang w:eastAsia="ru-RU"/>
        </w:rPr>
        <w:t>14,5 тыс.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73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28E5B8A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представления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учреждением </w:t>
      </w:r>
      <w:r w:rsidRPr="00FD3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приняты меры по устранению нарушений и недопущению 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дальнейшей работе. </w:t>
      </w:r>
      <w:r w:rsidRPr="00773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отчетном периоде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неправомерно использованные бюджетные средства в размере 104,2 тыс. </w:t>
      </w:r>
      <w:r w:rsidRPr="00A56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возмещены</w:t>
      </w:r>
      <w:r w:rsidRPr="00A56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бюджет города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средства в размере 833,6 тыс. рублей в соответствии с графиком погашения будут возмещены в бюджет города в 2026 и 2027 годах. П</w:t>
      </w:r>
      <w:r w:rsidRPr="00773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оступления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бюджет города </w:t>
      </w:r>
      <w:r w:rsidRPr="00773F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денежных взысканий (штрафов) по делам об административных нарушениях, возбужденным должностными лицами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</w:t>
      </w:r>
      <w:r w:rsidRPr="00773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составили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14,5</w:t>
      </w:r>
      <w:r w:rsidRPr="00773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773F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5A9F5D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</w:pPr>
    </w:p>
    <w:p w14:paraId="31A091A5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47BB4">
        <w:rPr>
          <w:rFonts w:ascii="Times New Roman" w:eastAsia="Times New Roman" w:hAnsi="Times New Roman" w:cs="Times New Roman"/>
          <w:sz w:val="24"/>
          <w:szCs w:val="24"/>
          <w:lang w:eastAsia="ru-RU"/>
        </w:rPr>
        <w:t>.2.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Палатой проведено контрольное мероприятие </w:t>
      </w:r>
      <w:r w:rsidRPr="002971F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B44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целевого и эффективного использования бюджетных ассигнований резервного фонда Администрации города Обнинска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B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Pr="002971F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7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003F21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Объектом проверки являлась </w:t>
      </w:r>
      <w:r w:rsidRPr="00297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«Г</w:t>
      </w:r>
      <w:r w:rsidRPr="002971F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 Обнинск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3C82CD2C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контрольного мероприятия являлось </w:t>
      </w:r>
      <w:r w:rsidRPr="00AB447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нормативное обеспечение порядка выделения и использования средств резервного фонда, расходование средств резервного фонда Администрации города Обнинска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05F851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проверенных средств составил 463,5 тыс. рублей. </w:t>
      </w:r>
      <w:r w:rsidRPr="00297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контрольного мероприятия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выявлены 4 нарушения при осуществлении муниципальных закупок, не имеющих </w:t>
      </w:r>
      <w:r w:rsidRPr="004B29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стоимостной оценки (2 нарушения</w:t>
      </w:r>
      <w:r w:rsidRPr="004B295B">
        <w:t xml:space="preserve"> </w:t>
      </w:r>
      <w:r w:rsidRPr="004B29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выборе такого способа определения поставщика (подрядчика, исполнителя), как закупка у единственного поставщика (подрядчика, исполнителя), и при осуществлении такой закупки;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95B">
        <w:rPr>
          <w:rFonts w:ascii="Times New Roman" w:eastAsia="Times New Roman" w:hAnsi="Times New Roman" w:cs="Times New Roman"/>
          <w:sz w:val="24"/>
          <w:szCs w:val="24"/>
          <w:lang w:eastAsia="ru-RU"/>
        </w:rPr>
        <w:t>2 нарушения - отсутствие в контракте (договоре) сведений о расчете и обосновании цены контракта (договора).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13DB0B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эффективного расходования средств резервного фонда города Обнинска,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отчете о результатах контрольного мероприятия, КСП предложено </w:t>
      </w:r>
      <w:r w:rsidRPr="00B8718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Обнинска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рассмотреть вопросы</w:t>
      </w:r>
      <w:r w:rsidRPr="00B871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DC727DC" w14:textId="77777777" w:rsidR="00562B56" w:rsidRPr="004B295B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4B2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Положение «О порядке расходования средств резервного фонда Администрации города Обнинска», утвержденное постановлением Администрации города Обнинска от 23.06.2014 № 1096-п в целях приведения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БК РФ;</w:t>
      </w:r>
    </w:p>
    <w:p w14:paraId="3C5119AF" w14:textId="77777777" w:rsidR="00562B56" w:rsidRPr="004B295B" w:rsidRDefault="00562B56" w:rsidP="00562B56">
      <w:pPr>
        <w:pStyle w:val="a7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4B295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предусмотрении упрощенной процедуры выделения средств из резервного фонда при введении чрезвычайной ситуации и ее регламент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 в нормативных документах;</w:t>
      </w:r>
    </w:p>
    <w:p w14:paraId="0E532498" w14:textId="77777777" w:rsidR="00562B56" w:rsidRPr="00B8718C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</w:t>
      </w:r>
      <w:r w:rsidRPr="004B295B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регламентации в нормативно-правовых актах Администрации города Обнинска определения перечня видов работ, относящихся к аварийно-восстановительным и аварийно-спасательным; подтверждения наличия жилья в качестве единственного для проживания при размещении граждан в пунктах временного размещения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ПВР)</w:t>
      </w:r>
      <w:r w:rsidRPr="004B295B">
        <w:rPr>
          <w:rFonts w:ascii="Times New Roman" w:eastAsia="Times New Roman" w:hAnsi="Times New Roman" w:cs="Times New Roman"/>
          <w:sz w:val="24"/>
          <w:szCs w:val="24"/>
          <w:lang w:eastAsia="ru-RU"/>
        </w:rPr>
        <w:t>; повторного размещения в ПВР через определенное количество дней после убытия из них, перемещения эвакуированных граждан между ПВР; процедуры обеспечения эвакуационных мероприятий в ПВР городской эвакуационной комиссии при различных чрезвычайных ситуациях.</w:t>
      </w:r>
    </w:p>
    <w:p w14:paraId="26AFA2C7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0471AD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 Палатой проведено контрольное мероприятие «Проверка целевого и эффективного использования бюджетных ассигнований муниципального дорожного фонда в 2024 году».</w:t>
      </w:r>
    </w:p>
    <w:p w14:paraId="3489DB55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контрольного мероприятия являлась деятельность Администрации города Обнинска, муниципального казенного учреждения «Городское строительство»</w:t>
      </w:r>
      <w:r w:rsidRPr="00D90143">
        <w:t xml:space="preserve"> </w:t>
      </w:r>
      <w:r w:rsidRPr="00914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D9014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D9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D9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9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«Управляющая компания систем коммунальной инфраструктуры города Обнинска»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расходованию средств муниципального дорожного фонда.</w:t>
      </w:r>
    </w:p>
    <w:p w14:paraId="27B00B6B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проверенных средств составил 284 470,5 тыс. рублей. По результатам контрольного мероприятия выявлено 9 нарушений при осуществлении </w:t>
      </w:r>
      <w:r w:rsidRPr="00D44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закупок, 1 из которых, имеющее стоимостную оценку, в сумме 378,6 тыс. рублей (3 нарушения</w:t>
      </w:r>
      <w:r w:rsidRPr="0080089D">
        <w:t xml:space="preserve"> </w:t>
      </w:r>
      <w:r>
        <w:t xml:space="preserve">– </w:t>
      </w:r>
      <w:r w:rsidRPr="00EF50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</w:t>
      </w:r>
      <w:r w:rsidRPr="00EF50B0">
        <w:rPr>
          <w:rFonts w:ascii="Times New Roman" w:hAnsi="Times New Roman" w:cs="Times New Roman"/>
          <w:sz w:val="24"/>
          <w:szCs w:val="24"/>
        </w:rPr>
        <w:t xml:space="preserve"> надлежащего обеспечения исполнения контракта (договора)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3 нарушения </w:t>
      </w:r>
      <w:r w:rsidRPr="001D705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исполнения контрактов (договоров), в том числе, сроков исполнения, включая своевременность расчетов по контракту (договору), гарантийных обязательств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2 нарушения – н</w:t>
      </w:r>
      <w:r w:rsidRPr="009D795D">
        <w:rPr>
          <w:rFonts w:ascii="Times New Roman" w:eastAsia="Times New Roman" w:hAnsi="Times New Roman" w:cs="Times New Roman"/>
          <w:sz w:val="24"/>
          <w:szCs w:val="24"/>
          <w:lang w:eastAsia="ru-RU"/>
        </w:rPr>
        <w:t>еприменение мер ответственности по контракту (договору) (отсутствуют взыскания неустойки (пени, штрафы) с недобросовестного поставщика (подрядчика, исполнителя)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1 из которых имеет стоимостную оценку – 378,6 тыс. рублей).</w:t>
      </w:r>
    </w:p>
    <w:p w14:paraId="27B2E2E9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устранения выявленных нарушений направлен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F4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F4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муниципального казенного учреждения «Городское строительство» и директору </w:t>
      </w:r>
      <w:r w:rsidRPr="00AB5F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бюджетного учреждения «Управляющая компания систем коммунальной инфраструктуры города Обнинска»</w:t>
      </w:r>
      <w:r w:rsidRPr="002F4D0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2F4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даны предложения по вопросам устранения и предупреждения нарушений. По результатам рассмотрения представлени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F4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приняты меры по устранению нарушений и недопущению 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дальнейшей работе</w:t>
      </w:r>
      <w:r w:rsidRPr="002F4D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B7D2B9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1BC105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 КСП проведена внешняя проверка годовой бюджетной отчетности за 2024 год 8 главных администраторов бюджетных средств.</w:t>
      </w:r>
    </w:p>
    <w:p w14:paraId="22C8D767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проверенных средств составил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73E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236 069,1</w:t>
      </w:r>
      <w:r w:rsidRPr="00673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указанных контрольных мероприятий выявлено 33 нарушения</w:t>
      </w:r>
      <w:r w:rsidRPr="00E44F40">
        <w:t xml:space="preserve"> </w:t>
      </w:r>
      <w:r w:rsidRPr="00AD76C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 единых требований к бюджетному (бухгалтерскому) учету, в том числе бюджетной, бухгалтерской (финансовой) отчетности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3 из которых, имеющих стоимостную оценку, в общей сумме 14 363,9 тыс. рублей (</w:t>
      </w:r>
      <w:r w:rsidRPr="00AD7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социальной защиты населения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D76C9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города Обнинска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 нарушение, 3 из которых это </w:t>
      </w:r>
      <w:r w:rsidRPr="00BB5A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требований, предъявляемых к оформлению и ведению регистров бухгалтерского учета, и нарушения общих требований к бюджетной, бухгалтерской (финансовой) отчетности,</w:t>
      </w:r>
      <w:r w:rsidRPr="00DD69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имеющие стоимостную оценку – 14 363,9 тыс. рублей; муниципальное казенное учреждение «Управление культуры и туризма администрации города Обнинска» </w:t>
      </w:r>
      <w:r w:rsidRPr="00AC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нарушения). Н</w:t>
      </w:r>
      <w:r w:rsidRPr="00BB5A8E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ачальнику Управления социальной защиты населения администрации города Обнинска направлено представление, в котором даны предложения по вопросам устранения и предупреждения нарушений. По резуль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татам рассмотрения представления</w:t>
      </w:r>
      <w:r w:rsidRPr="00BB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приняты меры по устранению нарушений и недопущению их в дальнейшей работе.</w:t>
      </w:r>
    </w:p>
    <w:p w14:paraId="0DFC4431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внешней проверки годовой бюджетной отчетности главных администраторов бюджетных средств составлены 8 отчетов, в которых отмечены  нарушения и недостатки при формировании бюджетной отчетности. По результатам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рассмотрения отчетов приняты меры по учету нарушений и замечаний и недопущению их в дальнейшей работе, 1 должностное лицо привлечено к дисциплинарной ответственности.</w:t>
      </w:r>
    </w:p>
    <w:p w14:paraId="21D0C101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88F57D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B70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B70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КСП </w:t>
      </w:r>
      <w:r w:rsidRPr="00AD7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Контрольно-счетной палатой Калужской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проведено контрольное мероприятие </w:t>
      </w:r>
      <w:r w:rsidRPr="00A563E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D7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законности и эффективности (экономности и результативности) использования бюджетных средств, выделенных на выполнение работ по ремонту автомобильной дороги общего пользования местного значения в границах муниципального образования «Город Обнинск» по пр. Ленина, в том числе в рамках Национального проекта «Безопасные качественные дороги»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13EAA1C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Объектами контрольного мероприятия являлись: </w:t>
      </w:r>
      <w:r w:rsidRPr="008B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города Обнинска; </w:t>
      </w:r>
      <w:r w:rsidRPr="00FD0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казенное учреждение «Городское строительство», муниципальное бюджетное учреждение «Управляющая компания систем коммунальной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инфраструктуры города Обнинска»</w:t>
      </w:r>
      <w:r w:rsidRPr="008B75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10A4A6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контрольного мероприятия являлось</w:t>
      </w:r>
      <w:r w:rsidRPr="008B7533">
        <w:t xml:space="preserve"> </w:t>
      </w:r>
      <w:r w:rsidRPr="00FD0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бюджетных средств, направленных на приведение в нормативное состояние автомобильной дороги местного значения в границах муниципального образования «Город Обнинск»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05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пр. Ленина, в том числе в рамках Национального проекта «Безопасные качественные дороги» в 2023 – 2024 годах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896228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проверенных средств составил 159 123,8 тыс. рублей. По результатам контрольного мероприятия выявлено 6 нарушений, из которых 5 нарушений, имеющих стоимостную оценку, в общей сумме 818,0 тыс. рублей (из них средства, подлежащие возмещению в бюджет города – 789,2 тыс. рублей), в том числе:</w:t>
      </w:r>
    </w:p>
    <w:p w14:paraId="02873C0D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- 1 нарушение </w:t>
      </w:r>
      <w:r w:rsidRPr="00807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бухгалтерского учета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н</w:t>
      </w:r>
      <w:r w:rsidRPr="00807B1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арушение требований, предъявляемых к оформлению и ведению регистров бухгалтерского учета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91775F3" w14:textId="77777777" w:rsidR="00562B56" w:rsidRPr="00D44AD7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- 5 нарушений при осуществлении муниципальных закупок (4 нарушения  </w:t>
      </w:r>
      <w:r w:rsidRPr="00807B1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исполнения контрактов (договоров), в том числе, сроков исполнения, включая своевременность расчетов по контракту (договору), гарантийных обязательств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 из которых на 818,0 тыс. рублей; 1 нарушение – произведена частичная оплата до подписания документа о приемке; 1 нарушение </w:t>
      </w:r>
      <w:r w:rsidRPr="00807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и размещения в ЕИС информации, предусмотренной законодательством о государственных (муниципальных) закупках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44A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1499BC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устранения выявленных нарушений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КСП </w:t>
      </w:r>
      <w:r w:rsidRPr="002F4D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F4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C4A16">
        <w:t xml:space="preserve"> </w:t>
      </w:r>
      <w:r w:rsidRPr="00DC4A1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муниципального казенного учреждения «Городское строительство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C4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директору муниципального бюджетного учреждения «Управляющая компания систем коммунальной инфраструктуры города Обнинска»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C4A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C4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предложения о принятии мер по устранению выявленных нарушений и недостатков, а также предъявлено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возмещению</w:t>
      </w:r>
      <w:r w:rsidRPr="00DC4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бюджет города неправомерно использованных бюджетных средств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789,2</w:t>
      </w:r>
      <w:r w:rsidRPr="00DC4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F4D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представлени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F4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приняты меры по устранению нарушений и недопущению 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дальнейшей работе, 1</w:t>
      </w:r>
      <w:r w:rsidRPr="00EF7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EF7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F7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привлечено к дисциплинарной ответственност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31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отчетном периоде средства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789</w:t>
      </w:r>
      <w:r w:rsidRPr="00231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,2 тыс. рублей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возмещены</w:t>
      </w:r>
      <w:r w:rsidRPr="00231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бюджете города.</w:t>
      </w:r>
    </w:p>
    <w:p w14:paraId="155AA375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3D7108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</w:t>
      </w:r>
      <w:r w:rsidRPr="000B70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КСП проведено контрольное мероприятие </w:t>
      </w:r>
      <w:r w:rsidRPr="00A563E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E07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отдельных вопросов финансово-хозяйственной деятельности структурного подразделения «Школа Креативных Индустрий» муниципального бюджетного учреждения дополнительного образования «Детская школа искусств № 2 имени Николая Метнера» города Обнинска</w:t>
      </w:r>
      <w:r w:rsidRPr="00A563E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261C38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F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проверенных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составил 63 832,2 тыс. рублей. По результатам контрольного мероприятия выявлено 60 нарушений, из которых 30 нарушений, имеющих стоимостную оценку, в общей сумме 1 050,8 тыс. рублей </w:t>
      </w:r>
      <w:r w:rsidRPr="00571E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средства, </w:t>
      </w:r>
      <w:r w:rsidRPr="00571E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</w:t>
      </w:r>
      <w:r w:rsidRPr="00571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возмещению</w:t>
      </w:r>
      <w:r w:rsidRPr="00571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бюджет города)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14:paraId="7A1561CA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- 33 нарушения при формировании и исполнении </w:t>
      </w:r>
      <w:r w:rsidRPr="005F6C2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(2 нарушения порядка формирования (изменения)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финансового обеспечения</w:t>
      </w:r>
      <w:r w:rsidRPr="005F6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задания;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F6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F6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7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порядка определения объема, порядка и (или) условий предоставления </w:t>
      </w:r>
      <w:r w:rsidRPr="00D77C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(расходования) субсидий бюджетным учреждениям на иные цели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F6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 нарушений - п</w:t>
      </w:r>
      <w:r w:rsidRPr="00D77C3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ереплаты и неположенные выплаты работник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D77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бюджетных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учреждений на</w:t>
      </w:r>
      <w:r w:rsidRPr="005F6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1 050,8 тыс. рублей);</w:t>
      </w:r>
    </w:p>
    <w:p w14:paraId="21556D3C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- 7 нарушений ведения бухгалтерского учета (3 нарушения </w:t>
      </w:r>
      <w:r w:rsidRPr="00ED2DF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организации ведения бухгалтерского учета, хранения документов бухгалтерского учета и требований по формированию учетной политики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4 нарушения </w:t>
      </w:r>
      <w:r w:rsidRPr="00ED2DF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требований, предъявляемых к оформлению и ведению регистров бухгалтерского учета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654C4B2B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- 2 нарушения </w:t>
      </w:r>
      <w:r w:rsidRPr="00ED2D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управления и распоряжения муниципальной собственностью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(нарушения </w:t>
      </w:r>
      <w:r w:rsidRPr="00ED2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отнесения имущества бюджетного учреждения к категории особо ценного движимого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3AECAF8D" w14:textId="77777777" w:rsidR="00562B56" w:rsidRPr="00D44AD7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- 18 нарушений при осуществлении муниципальных закупок (2 нарушения </w:t>
      </w:r>
      <w:r w:rsidRPr="004F23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нормировании в сфере закупок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4 нарушения </w:t>
      </w:r>
      <w:r w:rsidRPr="00E34C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представления информации для ведения реестров контрактов, реестра недобросовестных поставщиков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2 иных нарушения </w:t>
      </w:r>
      <w:r w:rsidRPr="00E34C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закупочной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10 нарушений </w:t>
      </w:r>
      <w:r w:rsidRPr="00E34CD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установленного порядка, требований к осу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ществлению закупок това</w:t>
      </w:r>
      <w:r w:rsidRPr="00E34CD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ров, работ, услуг отдельными видами юридических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5178286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устранения выявленных нарушений направлен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F4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директору </w:t>
      </w:r>
      <w:r w:rsidRPr="00E34CD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бюджетного учреждения дополнительного образования «Детская школа искусств № 2 имени Николая Метнера» города Обнинска»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F4D0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F4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даны предложения по вопросам устранения и предупреждения нарушений. По результатам рассмотрения представлени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F4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приняты меры по устранению нарушений и недопущению 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дальнейшей работе, 3</w:t>
      </w:r>
      <w:r w:rsidRPr="00EF7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EF7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привлечены</w:t>
      </w:r>
      <w:r w:rsidRPr="00EF7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дисциплинарной ответственност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Pr="00231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отчетном периоде неправомерно использованные средства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200,0</w:t>
      </w:r>
      <w:r w:rsidRPr="00231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возмещены</w:t>
      </w:r>
      <w:r w:rsidRPr="00231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бюджете города.</w:t>
      </w:r>
    </w:p>
    <w:p w14:paraId="11F72167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C93446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4BB">
        <w:rPr>
          <w:rFonts w:ascii="Times New Roman" w:eastAsia="Times New Roman" w:hAnsi="Times New Roman" w:cs="Times New Roman"/>
          <w:sz w:val="24"/>
          <w:szCs w:val="24"/>
          <w:lang w:eastAsia="ru-RU"/>
        </w:rPr>
        <w:t>2.7. Палатой проведено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контрольное мероприятие </w:t>
      </w:r>
      <w:r w:rsidRPr="00847BB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46F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правомерности начисления и выплаты заработной платы работникам муниципального бюджетного учреждения «Централизованная библиотечная система</w:t>
      </w:r>
      <w:r w:rsidRPr="00847BB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817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1E742B0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проверенных средств составил 68 910,5 тыс. рублей. По результатам контрольного мероприятия выявлены 3 нарушения, 2 из которых имеют стоимостную оценку в размере 135,0 тыс. рублей (средства подлежат возмещению в бюджет города), в том числе:</w:t>
      </w:r>
    </w:p>
    <w:p w14:paraId="2FF62AF0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- 2 нарушения в ходе исполнения бюджета (нарушения </w:t>
      </w:r>
      <w:r w:rsidRPr="00D034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и условий оплаты труда работников муниципальных бюджетных учреждений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</w:t>
      </w:r>
      <w:r w:rsidRPr="00D03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135,0 тыс.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14:paraId="11D9FA3A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- 1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ведения бухгалтерского учета (нарушение </w:t>
      </w:r>
      <w:r w:rsidRPr="00D0342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требований, предъявляемых к оформлению фактов хозяйственной жизни экономического субъекта первичными учетными документами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2615005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устранения выявленных нарушений направлен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D3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директору </w:t>
      </w:r>
      <w:r w:rsidRPr="00306E3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бюджетного учреждения «Централизованная библиотечная система»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F4D0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F4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даны предложения по вопросам устранения и предупреждения нарушений. По результатам рассмотрения представлени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F4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приняты меры по устранению нарушений и недопущению 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дальнейшей работе, 2</w:t>
      </w:r>
      <w:r w:rsidRPr="00EF7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EF7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привлечены</w:t>
      </w:r>
      <w:r w:rsidRPr="00EF7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дисциплинарной ответственност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Pr="00231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отчетном периоде неправомерно использованные средства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135,0</w:t>
      </w:r>
      <w:r w:rsidRPr="00231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возмещены</w:t>
      </w:r>
      <w:r w:rsidRPr="00231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бюджет города.</w:t>
      </w:r>
    </w:p>
    <w:p w14:paraId="1A47BE90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665FC5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85">
        <w:rPr>
          <w:rFonts w:ascii="Times New Roman" w:eastAsia="Times New Roman" w:hAnsi="Times New Roman" w:cs="Times New Roman"/>
          <w:sz w:val="24"/>
          <w:szCs w:val="24"/>
          <w:lang w:eastAsia="ru-RU"/>
        </w:rPr>
        <w:t>2.8. Палатой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проведено контрольное мероприятие </w:t>
      </w:r>
      <w:r w:rsidRPr="004B64C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461E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 в сфере закупок посредством проверки, анализа и оценки информации о законности, целесообразности, обоснованности, своевременности, эффективности и результативности расходов на закупки по планируемым к заключению, заключенным и исполненным контрактам в муниципальном бюджетном дошкольном образовательном учреждении «Детский сад комбинированного вида № 29 «Ладушка</w:t>
      </w:r>
      <w:r w:rsidRPr="004B64C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74F104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Предметом контрольного мероприятия являлась </w:t>
      </w:r>
      <w:r w:rsidRPr="00F461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и анализ законности, целесообразности, обоснованности, своевременности, эффективности расходов на закупки, осуществленные в соответствии с Федеральным законом № 44-ФЗ)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объектами проверки являлись: м</w:t>
      </w:r>
      <w:r w:rsidRPr="00544F49">
        <w:rPr>
          <w:rFonts w:ascii="Times New Roman" w:eastAsia="Times New Roman" w:hAnsi="Times New Roman" w:cs="Times New Roman"/>
          <w:sz w:val="24"/>
          <w:szCs w:val="24"/>
          <w:lang w:eastAsia="ru-RU"/>
        </w:rPr>
        <w:t>ун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иципальное </w:t>
      </w:r>
      <w:r w:rsidRPr="00160B11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60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60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60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 «Детский сад комбинированного вида № 29 «Ладушка»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МБДОУ Ладушка</w:t>
      </w:r>
      <w:r w:rsidRPr="003454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Управление общего образования а</w:t>
      </w:r>
      <w:r w:rsidRPr="00160B11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орода</w:t>
      </w:r>
      <w:r w:rsidRPr="00160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Обнинска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4F083D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проверенных средств составил 46 369,1 тыс. рублей. По результатам контрольного мероприятия выявлены 37 нарушений, 7 из которых, имеющих стоимостную оценку – 107,4 тыс. рублей, в том числе:</w:t>
      </w:r>
    </w:p>
    <w:p w14:paraId="72FBC148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- 6 нарушений требований организации ведения бухгалтерского учета – нарушение </w:t>
      </w:r>
      <w:r w:rsidRPr="001561D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требований, предъявляемых к оформлению фактов хозяйственной жизни экономического субъекта первичными учетными документами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F32DF0B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- 31 нарушение </w:t>
      </w:r>
      <w:r w:rsidRPr="00BE50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муниципальных закупок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нарушение при нормировании в сфере закупок; 2 нарушения </w:t>
      </w:r>
      <w:r w:rsidRPr="001561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формирования, утверждения и ведения плана-графика закупок товаров, работ, услуг для обеспечения государственных и муниципальных нужд, порядка его размещения в единой информационной системе в сфере закупок в открытом доступе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5 нарушений </w:t>
      </w:r>
      <w:r w:rsidRPr="001561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обосновании и определении начальной (максимальной) цены контракта (договора), цены контракта (договора), заключаемого с единственным поставщиком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одно из которых имеет стоимостную оценку в размере 73,0 тыс. рублей; 1 нарушение –</w:t>
      </w:r>
      <w:r w:rsidRPr="00C84AC8">
        <w:t xml:space="preserve"> </w:t>
      </w:r>
      <w:r w:rsidRPr="004E5645">
        <w:rPr>
          <w:rFonts w:ascii="Times New Roman" w:hAnsi="Times New Roman" w:cs="Times New Roman"/>
          <w:sz w:val="24"/>
          <w:szCs w:val="24"/>
        </w:rPr>
        <w:t>н</w:t>
      </w:r>
      <w:r w:rsidRPr="004E564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есоблюдение требований, предъявляемых к результатам экспертизы; 16 нарушений условий исполнения</w:t>
      </w:r>
      <w:r w:rsidRPr="00C84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контрактов (договоров)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6 нарушений – н</w:t>
      </w:r>
      <w:r w:rsidRPr="00C84AC8">
        <w:rPr>
          <w:rFonts w:ascii="Times New Roman" w:eastAsia="Times New Roman" w:hAnsi="Times New Roman" w:cs="Times New Roman"/>
          <w:sz w:val="24"/>
          <w:szCs w:val="24"/>
          <w:lang w:eastAsia="ru-RU"/>
        </w:rPr>
        <w:t>еприменение мер ответств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енности по контракту (договору) на 34,5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тыс. рублей).</w:t>
      </w:r>
    </w:p>
    <w:p w14:paraId="1DA382D6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устранения выявленных нарушений направлены представления: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заместителю г</w:t>
      </w:r>
      <w:r w:rsidRPr="000504A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5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504A2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города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Обнинска в сфере образования, начальнику Управления общего образования администрации города Обнинска</w:t>
      </w:r>
      <w:r w:rsidRPr="000504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директору</w:t>
      </w:r>
      <w:r w:rsidRPr="0005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Ладушка</w:t>
      </w:r>
      <w:r w:rsidRPr="0005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которых даны предложения по вопросам устранения и предупреждения нарушений. По результатам рассмотрения представлений приняты меры по устранению нарушений и недопущению </w:t>
      </w:r>
      <w:r w:rsidRPr="00D44AD7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 дальнейшей работе.</w:t>
      </w:r>
    </w:p>
    <w:p w14:paraId="24DF1D6A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7844E6" w14:textId="77777777" w:rsidR="00562B56" w:rsidRPr="00BE5081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79">
        <w:rPr>
          <w:rFonts w:ascii="Times New Roman" w:eastAsia="Times New Roman" w:hAnsi="Times New Roman" w:cs="Times New Roman"/>
          <w:sz w:val="24"/>
          <w:szCs w:val="24"/>
          <w:lang w:eastAsia="ru-RU"/>
        </w:rPr>
        <w:t>2.9.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5081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проведен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контрольное мероприятие</w:t>
      </w:r>
      <w:r w:rsidRPr="00BE5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15B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достоверностью, полнотой и соответствием нормативным требованиям составления и представления бюджетной отчетности за 9 месяцев 2025 года главным администратором бюджетных средств Управлением социальной защиты населения Администрации города Обнинска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E50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6F7F9C9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проверенных средств составил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651 045,4</w:t>
      </w:r>
      <w:r w:rsidRPr="00BE5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 По результатам контрольн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BE5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E5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BE5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имеющих стоимостной оценки, в том числе:</w:t>
      </w:r>
    </w:p>
    <w:p w14:paraId="72363968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- 1 нарушение при исполнении бюджета – н</w:t>
      </w:r>
      <w:r w:rsidRPr="00525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арушение порядка составления, утверждения и ведения бюджетной сметы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525CC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казенного 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5453D20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- 14 нарушений ведения бухгалтерского учета, составления и представления бухгалтерской (финансовой) отчетности (2 нарушения </w:t>
      </w:r>
      <w:r w:rsidRPr="00525CC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организации ведения бухгалтерского учета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1 нарушение </w:t>
      </w:r>
      <w:r w:rsidRPr="00525CC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требований, предъявляемых к оформлению и ведению регистров бухгалтерского учета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11 нарушений </w:t>
      </w:r>
      <w:r w:rsidRPr="00525C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общих требований к бюджетной, бухгалтерской (финансовой) отчетности экономического субъекта, в том числе к ее составу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C46AF4B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B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устранения выявленных нарушений направлен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представление</w:t>
      </w:r>
      <w:r w:rsidRPr="00F20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начальнику Управления социальной защиты населения</w:t>
      </w:r>
      <w:r w:rsidRPr="00F20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Обнинска, в котор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F20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даны предложения по вопросам устранения и предупреждения нарушений. По результатам рассмотрения представлени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20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приняты меры по устранению нарушений и недопущению их в дальнейшей работе.</w:t>
      </w:r>
    </w:p>
    <w:p w14:paraId="6EBFB2B3" w14:textId="77777777" w:rsidR="00562B56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3770F1" w14:textId="77777777" w:rsidR="00562B56" w:rsidRPr="006451E0" w:rsidRDefault="00562B56" w:rsidP="00562B56">
      <w:pPr>
        <w:pStyle w:val="11"/>
        <w:ind w:firstLine="425"/>
        <w:rPr>
          <w:rFonts w:ascii="Times New Roman" w:hAnsi="Times New Roman" w:cs="Times New Roman"/>
          <w:color w:val="auto"/>
          <w:sz w:val="24"/>
          <w:szCs w:val="24"/>
        </w:rPr>
      </w:pPr>
      <w:r w:rsidRPr="006451E0">
        <w:rPr>
          <w:rFonts w:ascii="Times New Roman" w:hAnsi="Times New Roman" w:cs="Times New Roman"/>
          <w:color w:val="auto"/>
          <w:sz w:val="24"/>
          <w:szCs w:val="24"/>
        </w:rPr>
        <w:lastRenderedPageBreak/>
        <w:t>Отчеты КСП о результатах проведенных контрольных мероприятий рассматривались на заседаниях комитетов Собрания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города Обнинска, прежде всего профильных: комитета по экономическим вопросам и комитета по бюджетным вопросам.</w:t>
      </w:r>
    </w:p>
    <w:p w14:paraId="28F4A764" w14:textId="77777777" w:rsidR="00562B56" w:rsidRPr="006451E0" w:rsidRDefault="00562B56" w:rsidP="00562B56">
      <w:pPr>
        <w:pStyle w:val="11"/>
        <w:ind w:firstLine="425"/>
        <w:rPr>
          <w:rFonts w:ascii="Times New Roman" w:hAnsi="Times New Roman" w:cs="Times New Roman"/>
          <w:color w:val="auto"/>
          <w:sz w:val="24"/>
          <w:szCs w:val="24"/>
        </w:rPr>
      </w:pP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КСП объектам контроля в </w:t>
      </w:r>
      <w:r>
        <w:rPr>
          <w:rFonts w:ascii="Times New Roman" w:hAnsi="Times New Roman" w:cs="Times New Roman"/>
          <w:color w:val="auto"/>
          <w:sz w:val="24"/>
          <w:szCs w:val="24"/>
        </w:rPr>
        <w:t>2025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году было направлено </w:t>
      </w:r>
      <w:r>
        <w:rPr>
          <w:rFonts w:ascii="Times New Roman" w:hAnsi="Times New Roman" w:cs="Times New Roman"/>
          <w:color w:val="auto"/>
          <w:sz w:val="24"/>
          <w:szCs w:val="24"/>
        </w:rPr>
        <w:t>12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представлений, содержащих </w:t>
      </w:r>
      <w:r>
        <w:rPr>
          <w:rFonts w:ascii="Times New Roman" w:hAnsi="Times New Roman" w:cs="Times New Roman"/>
          <w:color w:val="auto"/>
          <w:sz w:val="24"/>
          <w:szCs w:val="24"/>
        </w:rPr>
        <w:t>75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color w:val="auto"/>
          <w:sz w:val="24"/>
          <w:szCs w:val="24"/>
        </w:rPr>
        <w:t>й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об устранении нарушений и недостатков. </w:t>
      </w:r>
    </w:p>
    <w:p w14:paraId="4CC67900" w14:textId="77777777" w:rsidR="00562B56" w:rsidRDefault="00562B56" w:rsidP="00562B56">
      <w:pPr>
        <w:pStyle w:val="11"/>
        <w:ind w:firstLine="425"/>
        <w:rPr>
          <w:rFonts w:ascii="Times New Roman" w:hAnsi="Times New Roman" w:cs="Times New Roman"/>
          <w:color w:val="auto"/>
          <w:sz w:val="24"/>
          <w:szCs w:val="24"/>
        </w:rPr>
      </w:pP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Представления КСП объектами контроля рассматривались своевременно. Согласно представленной информации объектами контроля исполнены требования </w:t>
      </w:r>
      <w:r>
        <w:rPr>
          <w:rFonts w:ascii="Times New Roman" w:hAnsi="Times New Roman" w:cs="Times New Roman"/>
          <w:color w:val="auto"/>
          <w:sz w:val="24"/>
          <w:szCs w:val="24"/>
        </w:rPr>
        <w:t>всех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представлений</w:t>
      </w:r>
      <w:r>
        <w:rPr>
          <w:rFonts w:ascii="Times New Roman" w:hAnsi="Times New Roman" w:cs="Times New Roman"/>
          <w:color w:val="auto"/>
          <w:sz w:val="24"/>
          <w:szCs w:val="24"/>
        </w:rPr>
        <w:t>, 7</w:t>
      </w:r>
      <w:r w:rsidRPr="008D6571">
        <w:rPr>
          <w:rFonts w:ascii="Times New Roman" w:hAnsi="Times New Roman" w:cs="Times New Roman"/>
          <w:color w:val="auto"/>
          <w:sz w:val="24"/>
          <w:szCs w:val="24"/>
        </w:rPr>
        <w:t xml:space="preserve"> должностных лиц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привлечены</w:t>
      </w:r>
      <w:r w:rsidRPr="008D6571">
        <w:rPr>
          <w:rFonts w:ascii="Times New Roman" w:hAnsi="Times New Roman" w:cs="Times New Roman"/>
          <w:color w:val="auto"/>
          <w:sz w:val="24"/>
          <w:szCs w:val="24"/>
        </w:rPr>
        <w:t xml:space="preserve"> к дисциплинарной ответственности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51CCE63" w14:textId="77777777" w:rsidR="00562B56" w:rsidRDefault="00562B56" w:rsidP="00562B56">
      <w:pPr>
        <w:pStyle w:val="11"/>
        <w:ind w:firstLine="425"/>
        <w:rPr>
          <w:rFonts w:ascii="Times New Roman" w:hAnsi="Times New Roman" w:cs="Times New Roman"/>
          <w:color w:val="auto"/>
          <w:sz w:val="24"/>
          <w:szCs w:val="24"/>
        </w:rPr>
      </w:pPr>
      <w:r w:rsidRPr="00192791">
        <w:rPr>
          <w:rFonts w:ascii="Times New Roman" w:hAnsi="Times New Roman" w:cs="Times New Roman"/>
          <w:color w:val="auto"/>
          <w:sz w:val="24"/>
          <w:szCs w:val="24"/>
        </w:rPr>
        <w:t xml:space="preserve">КСП составлено 2 протокола об административных правонарушениях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по КоАП РФ </w:t>
      </w:r>
      <w:r w:rsidRPr="00192791">
        <w:rPr>
          <w:rFonts w:ascii="Times New Roman" w:hAnsi="Times New Roman" w:cs="Times New Roman"/>
          <w:color w:val="auto"/>
          <w:sz w:val="24"/>
          <w:szCs w:val="24"/>
        </w:rPr>
        <w:t xml:space="preserve">(в отношении одного юридического лица по ст. 15.14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– нецелевое </w:t>
      </w:r>
      <w:r w:rsidRPr="00A36729">
        <w:rPr>
          <w:rFonts w:ascii="Times New Roman" w:hAnsi="Times New Roman" w:cs="Times New Roman"/>
          <w:color w:val="auto"/>
          <w:sz w:val="24"/>
          <w:szCs w:val="24"/>
        </w:rPr>
        <w:t>использование бюджетных средств, выразившееся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6729">
        <w:rPr>
          <w:rFonts w:ascii="Times New Roman" w:hAnsi="Times New Roman" w:cs="Times New Roman"/>
          <w:color w:val="auto"/>
          <w:sz w:val="24"/>
          <w:szCs w:val="24"/>
        </w:rPr>
        <w:t>в направлении средств, полученных из бюджета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6729">
        <w:rPr>
          <w:rFonts w:ascii="Times New Roman" w:hAnsi="Times New Roman" w:cs="Times New Roman"/>
          <w:color w:val="auto"/>
          <w:sz w:val="24"/>
          <w:szCs w:val="24"/>
        </w:rPr>
        <w:t>на цели, не соответствующие целям, определенным договором (соглашением)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3672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92791">
        <w:rPr>
          <w:rFonts w:ascii="Times New Roman" w:hAnsi="Times New Roman" w:cs="Times New Roman"/>
          <w:color w:val="auto"/>
          <w:sz w:val="24"/>
          <w:szCs w:val="24"/>
        </w:rPr>
        <w:t xml:space="preserve">и одного должностного лица по ч. 1 ст. 15.1 </w:t>
      </w:r>
      <w:r>
        <w:rPr>
          <w:rFonts w:ascii="Times New Roman" w:hAnsi="Times New Roman" w:cs="Times New Roman"/>
          <w:color w:val="auto"/>
          <w:sz w:val="24"/>
          <w:szCs w:val="24"/>
        </w:rPr>
        <w:t>- н</w:t>
      </w:r>
      <w:r w:rsidRPr="00A36729">
        <w:rPr>
          <w:rFonts w:ascii="Times New Roman" w:hAnsi="Times New Roman" w:cs="Times New Roman"/>
          <w:color w:val="auto"/>
          <w:sz w:val="24"/>
          <w:szCs w:val="24"/>
        </w:rPr>
        <w:t>арушение порядка работы с денежной наличностью и порядка ведения кассовых операций, выразившееся в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6729">
        <w:rPr>
          <w:rFonts w:ascii="Times New Roman" w:hAnsi="Times New Roman" w:cs="Times New Roman"/>
          <w:color w:val="auto"/>
          <w:sz w:val="24"/>
          <w:szCs w:val="24"/>
        </w:rPr>
        <w:t>накоплении в кассе наличных денег сверх установленных лимитов</w:t>
      </w:r>
      <w:r w:rsidRPr="00192791">
        <w:rPr>
          <w:rFonts w:ascii="Times New Roman" w:hAnsi="Times New Roman" w:cs="Times New Roman"/>
          <w:color w:val="auto"/>
          <w:sz w:val="24"/>
          <w:szCs w:val="24"/>
        </w:rPr>
        <w:t>), по которым судами вынесены постановления о применении административного наказания в виде штрафов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D26A08D" w14:textId="77777777" w:rsidR="00562B56" w:rsidRPr="00914BDC" w:rsidRDefault="00562B56" w:rsidP="00562B56">
      <w:pPr>
        <w:pStyle w:val="11"/>
        <w:ind w:firstLine="425"/>
        <w:rPr>
          <w:rFonts w:ascii="Times New Roman" w:hAnsi="Times New Roman" w:cs="Times New Roman"/>
          <w:color w:val="auto"/>
          <w:sz w:val="24"/>
          <w:szCs w:val="24"/>
        </w:rPr>
      </w:pPr>
      <w:r w:rsidRPr="00914BDC">
        <w:rPr>
          <w:rFonts w:ascii="Times New Roman" w:hAnsi="Times New Roman" w:cs="Times New Roman"/>
          <w:color w:val="auto"/>
          <w:sz w:val="24"/>
          <w:szCs w:val="24"/>
        </w:rPr>
        <w:t xml:space="preserve">На основании материалов, направленных Палатой в уполномоченные органы, в 2025 году 3 должностных лица, привлечены к административной ответственности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по КоАП РФ </w:t>
      </w:r>
      <w:r w:rsidRPr="00914BDC">
        <w:rPr>
          <w:rFonts w:ascii="Times New Roman" w:hAnsi="Times New Roman" w:cs="Times New Roman"/>
          <w:color w:val="auto"/>
          <w:sz w:val="24"/>
          <w:szCs w:val="24"/>
        </w:rPr>
        <w:t>(ч. 9 ст. 7.30.1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– нарушение заказчиком </w:t>
      </w:r>
      <w:r w:rsidRPr="00914BDC">
        <w:rPr>
          <w:rFonts w:ascii="Times New Roman" w:hAnsi="Times New Roman" w:cs="Times New Roman"/>
          <w:color w:val="auto"/>
          <w:sz w:val="24"/>
          <w:szCs w:val="24"/>
        </w:rPr>
        <w:t xml:space="preserve">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размещения информации и документов или направления их для размещения в реестрах, предусмотренных указанными законодательством и нормативными правовыми актами, либо неразмещение информации и документов или ненаправление их для размещения в реестрах, предусмотренных указанными законодательством и нормативными правовыми актами; ч. 8 ст.7.30.2 </w:t>
      </w:r>
      <w:r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914BD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7AD1">
        <w:rPr>
          <w:rFonts w:ascii="Times New Roman" w:hAnsi="Times New Roman" w:cs="Times New Roman"/>
          <w:color w:val="auto"/>
          <w:sz w:val="24"/>
          <w:szCs w:val="24"/>
        </w:rPr>
        <w:t xml:space="preserve"> н</w:t>
      </w:r>
      <w:r w:rsidRPr="00914BDC">
        <w:rPr>
          <w:rFonts w:ascii="Times New Roman" w:hAnsi="Times New Roman" w:cs="Times New Roman"/>
          <w:color w:val="auto"/>
          <w:sz w:val="24"/>
          <w:szCs w:val="24"/>
        </w:rPr>
        <w:t xml:space="preserve">арушение срока либо порядка оплаты отдельных этапов исполнения контракта, поставляемого товара, выполняемой работы (ее результатов) или оказываемой услуги, в том числе неисполнение обязанности по обеспечению авансирования, предусмотренного контрактом; ч. 2 ст. 15.15.5 </w:t>
      </w:r>
      <w:r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914BDC">
        <w:rPr>
          <w:rFonts w:ascii="Times New Roman" w:hAnsi="Times New Roman" w:cs="Times New Roman"/>
          <w:color w:val="auto"/>
          <w:sz w:val="24"/>
          <w:szCs w:val="24"/>
        </w:rPr>
        <w:t xml:space="preserve"> нарушение </w:t>
      </w:r>
      <w:r>
        <w:rPr>
          <w:rFonts w:ascii="Times New Roman" w:hAnsi="Times New Roman" w:cs="Times New Roman"/>
          <w:color w:val="auto"/>
          <w:sz w:val="24"/>
          <w:szCs w:val="24"/>
        </w:rPr>
        <w:t>получателями субсидий</w:t>
      </w:r>
      <w:r w:rsidRPr="00914BDC">
        <w:rPr>
          <w:rFonts w:ascii="Times New Roman" w:hAnsi="Times New Roman" w:cs="Times New Roman"/>
          <w:color w:val="auto"/>
          <w:sz w:val="24"/>
          <w:szCs w:val="24"/>
        </w:rPr>
        <w:t xml:space="preserve"> условий их предоставления</w:t>
      </w:r>
      <w:r>
        <w:rPr>
          <w:rFonts w:ascii="Times New Roman" w:hAnsi="Times New Roman" w:cs="Times New Roman"/>
          <w:color w:val="auto"/>
          <w:sz w:val="24"/>
          <w:szCs w:val="24"/>
        </w:rPr>
        <w:t>) в виде штрафа и двух предупреждений.</w:t>
      </w:r>
    </w:p>
    <w:p w14:paraId="7DEA3356" w14:textId="77777777" w:rsidR="00562B56" w:rsidRPr="00326ADC" w:rsidRDefault="00562B56" w:rsidP="00562B56">
      <w:pPr>
        <w:pStyle w:val="11"/>
        <w:ind w:firstLine="425"/>
        <w:rPr>
          <w:rFonts w:ascii="Times New Roman" w:hAnsi="Times New Roman" w:cs="Times New Roman"/>
          <w:color w:val="auto"/>
          <w:sz w:val="24"/>
          <w:szCs w:val="24"/>
        </w:rPr>
      </w:pPr>
      <w:r w:rsidRPr="00914BDC">
        <w:rPr>
          <w:rFonts w:ascii="Times New Roman" w:hAnsi="Times New Roman" w:cs="Times New Roman"/>
          <w:color w:val="auto"/>
          <w:sz w:val="24"/>
          <w:szCs w:val="24"/>
        </w:rPr>
        <w:t>Прокуратурой по результатам надзорных мероприятий по материалам КСП приняты меры прокурорского реагирования: внесено 3 представления, 4 должностных лица привлечен</w:t>
      </w:r>
      <w:r>
        <w:rPr>
          <w:rFonts w:ascii="Times New Roman" w:hAnsi="Times New Roman" w:cs="Times New Roman"/>
          <w:color w:val="auto"/>
          <w:sz w:val="24"/>
          <w:szCs w:val="24"/>
        </w:rPr>
        <w:t>ы</w:t>
      </w:r>
      <w:r w:rsidRPr="00914BDC">
        <w:rPr>
          <w:rFonts w:ascii="Times New Roman" w:hAnsi="Times New Roman" w:cs="Times New Roman"/>
          <w:color w:val="auto"/>
          <w:sz w:val="24"/>
          <w:szCs w:val="24"/>
        </w:rPr>
        <w:t xml:space="preserve"> к дисциплинарной ответственности. </w:t>
      </w:r>
    </w:p>
    <w:p w14:paraId="1CC05CA9" w14:textId="77777777" w:rsidR="00562B56" w:rsidRPr="006451E0" w:rsidRDefault="00562B56" w:rsidP="0056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AF80F6" w14:textId="77777777" w:rsidR="00562B56" w:rsidRPr="006E1EE3" w:rsidRDefault="00562B56" w:rsidP="00562B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E1EE3">
        <w:rPr>
          <w:rFonts w:ascii="Times New Roman" w:hAnsi="Times New Roman" w:cs="Times New Roman"/>
          <w:color w:val="231F20"/>
          <w:sz w:val="24"/>
          <w:szCs w:val="24"/>
        </w:rPr>
        <w:t>2.10. </w:t>
      </w:r>
      <w:r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6E1EE3">
        <w:rPr>
          <w:rFonts w:ascii="Times New Roman" w:hAnsi="Times New Roman" w:cs="Times New Roman"/>
          <w:color w:val="231F20"/>
          <w:sz w:val="24"/>
          <w:szCs w:val="24"/>
        </w:rPr>
        <w:t xml:space="preserve">удит в сфере закупок согласно требованиям ст. 98 Федерального закона </w:t>
      </w:r>
      <w:r>
        <w:rPr>
          <w:rFonts w:ascii="Times New Roman" w:hAnsi="Times New Roman" w:cs="Times New Roman"/>
          <w:color w:val="231F20"/>
          <w:sz w:val="24"/>
          <w:szCs w:val="24"/>
        </w:rPr>
        <w:br/>
      </w:r>
      <w:r w:rsidRPr="006E1EE3">
        <w:rPr>
          <w:rFonts w:ascii="Times New Roman" w:hAnsi="Times New Roman" w:cs="Times New Roman"/>
          <w:color w:val="231F20"/>
          <w:sz w:val="24"/>
          <w:szCs w:val="24"/>
        </w:rPr>
        <w:t>№ 44-ФЗ КСП проводился в рамках 5 контрольных мероприятий.</w:t>
      </w:r>
    </w:p>
    <w:p w14:paraId="59F30E5E" w14:textId="77777777" w:rsidR="00562B56" w:rsidRPr="006E1EE3" w:rsidRDefault="00562B56" w:rsidP="00562B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5C7B2468" w14:textId="77777777" w:rsidR="00562B56" w:rsidRPr="006E1EE3" w:rsidRDefault="00562B56" w:rsidP="00562B56">
      <w:pPr>
        <w:pStyle w:val="11"/>
        <w:ind w:firstLine="425"/>
        <w:rPr>
          <w:rFonts w:ascii="Times New Roman" w:hAnsi="Times New Roman" w:cs="Times New Roman"/>
          <w:color w:val="auto"/>
          <w:sz w:val="24"/>
          <w:szCs w:val="24"/>
        </w:rPr>
      </w:pPr>
      <w:r w:rsidRPr="006E1EE3">
        <w:rPr>
          <w:rFonts w:ascii="Times New Roman" w:hAnsi="Times New Roman" w:cs="Times New Roman"/>
          <w:color w:val="auto"/>
          <w:sz w:val="24"/>
          <w:szCs w:val="24"/>
        </w:rPr>
        <w:t>Общее количество объектов, проверенных в рамках аудита в сфере закупок, составило 8. В 2025 году КСП проверено 230 контрактов на общую сумму 584 430,0</w:t>
      </w:r>
      <w:r w:rsidRPr="006E1EE3">
        <w:rPr>
          <w:rFonts w:ascii="Times New Roman" w:hAnsi="Times New Roman" w:cs="Times New Roman"/>
          <w:color w:val="auto"/>
          <w:sz w:val="24"/>
          <w:szCs w:val="24"/>
        </w:rPr>
        <w:br/>
        <w:t>тыс. рублей.</w:t>
      </w:r>
    </w:p>
    <w:p w14:paraId="7B309813" w14:textId="77777777" w:rsidR="00562B56" w:rsidRPr="006E1EE3" w:rsidRDefault="00562B56" w:rsidP="00562B56">
      <w:pPr>
        <w:pStyle w:val="11"/>
        <w:ind w:firstLine="425"/>
        <w:rPr>
          <w:rFonts w:ascii="Times New Roman" w:hAnsi="Times New Roman" w:cs="Times New Roman"/>
          <w:color w:val="auto"/>
          <w:sz w:val="24"/>
          <w:szCs w:val="24"/>
        </w:rPr>
      </w:pPr>
      <w:r w:rsidRPr="006E1EE3">
        <w:rPr>
          <w:rFonts w:ascii="Times New Roman" w:hAnsi="Times New Roman" w:cs="Times New Roman"/>
          <w:color w:val="auto"/>
          <w:sz w:val="24"/>
          <w:szCs w:val="24"/>
        </w:rPr>
        <w:t>Общее количество закупок с нарушениями – 31 ед., сумма закупок с нарушениями – 494 500,0 тыс. рублей. Общее количество нарушений законодательства о контрактной системе, выявленных при аудите в сфере закупок – 55 ед.</w:t>
      </w:r>
    </w:p>
    <w:p w14:paraId="1246F921" w14:textId="77777777" w:rsidR="00562B56" w:rsidRPr="006E1EE3" w:rsidRDefault="00562B56" w:rsidP="00562B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47D033F1" w14:textId="77777777" w:rsidR="00562B56" w:rsidRPr="006E1EE3" w:rsidRDefault="00562B56" w:rsidP="00562B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E1EE3">
        <w:rPr>
          <w:rFonts w:ascii="Times New Roman" w:hAnsi="Times New Roman" w:cs="Times New Roman"/>
          <w:color w:val="231F20"/>
          <w:sz w:val="24"/>
          <w:szCs w:val="24"/>
        </w:rPr>
        <w:t xml:space="preserve">Наиболее характерными нарушениями, из выявленных при проведении аудита в сфере закупок, являются: </w:t>
      </w:r>
    </w:p>
    <w:p w14:paraId="19656CEF" w14:textId="77777777" w:rsidR="00562B56" w:rsidRPr="006E1EE3" w:rsidRDefault="00562B56" w:rsidP="00562B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E1EE3">
        <w:rPr>
          <w:rFonts w:ascii="Times New Roman" w:hAnsi="Times New Roman" w:cs="Times New Roman"/>
          <w:color w:val="231F20"/>
          <w:sz w:val="24"/>
          <w:szCs w:val="24"/>
        </w:rPr>
        <w:t>- нарушения при исполнении контракта (законность внесения изменений, порядок расторжения, экспертиза результатов) – 23 нарушени</w:t>
      </w:r>
      <w:r>
        <w:rPr>
          <w:rFonts w:ascii="Times New Roman" w:hAnsi="Times New Roman" w:cs="Times New Roman"/>
          <w:color w:val="231F20"/>
          <w:sz w:val="24"/>
          <w:szCs w:val="24"/>
        </w:rPr>
        <w:t>я</w:t>
      </w:r>
      <w:r w:rsidRPr="006E1EE3">
        <w:rPr>
          <w:rFonts w:ascii="Times New Roman" w:hAnsi="Times New Roman" w:cs="Times New Roman"/>
          <w:color w:val="231F20"/>
          <w:sz w:val="24"/>
          <w:szCs w:val="24"/>
        </w:rPr>
        <w:t xml:space="preserve"> (41,8% общего числа нарушений);</w:t>
      </w:r>
    </w:p>
    <w:p w14:paraId="6310D222" w14:textId="77777777" w:rsidR="00562B56" w:rsidRPr="006E1EE3" w:rsidRDefault="00562B56" w:rsidP="00562B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E1EE3">
        <w:rPr>
          <w:rFonts w:ascii="Times New Roman" w:hAnsi="Times New Roman" w:cs="Times New Roman"/>
          <w:color w:val="231F20"/>
          <w:sz w:val="24"/>
          <w:szCs w:val="24"/>
        </w:rPr>
        <w:t>- нарушения при применении обеспечительных мер и мер ответственности по контракту – 12 нарушени</w:t>
      </w:r>
      <w:r>
        <w:rPr>
          <w:rFonts w:ascii="Times New Roman" w:hAnsi="Times New Roman" w:cs="Times New Roman"/>
          <w:color w:val="231F20"/>
          <w:sz w:val="24"/>
          <w:szCs w:val="24"/>
        </w:rPr>
        <w:t>й</w:t>
      </w:r>
      <w:r w:rsidRPr="006E1EE3">
        <w:rPr>
          <w:rFonts w:ascii="Times New Roman" w:hAnsi="Times New Roman" w:cs="Times New Roman"/>
          <w:color w:val="231F20"/>
          <w:sz w:val="24"/>
          <w:szCs w:val="24"/>
        </w:rPr>
        <w:t xml:space="preserve"> (21,8% общего числа нарушений);</w:t>
      </w:r>
    </w:p>
    <w:p w14:paraId="175A3CDE" w14:textId="77777777" w:rsidR="00562B56" w:rsidRPr="006E1EE3" w:rsidRDefault="00562B56" w:rsidP="00562B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E1EE3">
        <w:rPr>
          <w:rFonts w:ascii="Times New Roman" w:hAnsi="Times New Roman" w:cs="Times New Roman"/>
          <w:color w:val="231F20"/>
          <w:sz w:val="24"/>
          <w:szCs w:val="24"/>
        </w:rPr>
        <w:lastRenderedPageBreak/>
        <w:t>- нарушения при планировании закупок (обоснование закупки, план-график закупок) – 7 нарушений (12,7% общего числа нарушений).</w:t>
      </w:r>
    </w:p>
    <w:p w14:paraId="7BDDD44E" w14:textId="77777777" w:rsidR="00562B56" w:rsidRPr="006E1EE3" w:rsidRDefault="00562B56" w:rsidP="00562B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0826B55E" w14:textId="77777777" w:rsidR="00562B56" w:rsidRPr="006E1EE3" w:rsidRDefault="00562B56" w:rsidP="00562B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E1EE3">
        <w:rPr>
          <w:rFonts w:ascii="Times New Roman" w:hAnsi="Times New Roman" w:cs="Times New Roman"/>
          <w:color w:val="231F20"/>
          <w:sz w:val="24"/>
          <w:szCs w:val="24"/>
        </w:rPr>
        <w:t>2.11. 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В целях </w:t>
      </w:r>
      <w:r w:rsidRPr="0044356B">
        <w:rPr>
          <w:rFonts w:ascii="Times New Roman" w:hAnsi="Times New Roman" w:cs="Times New Roman"/>
          <w:color w:val="231F20"/>
          <w:sz w:val="24"/>
          <w:szCs w:val="24"/>
        </w:rPr>
        <w:t>контроля за законностью и эффективностью использования средств местного бюджета</w:t>
      </w:r>
      <w:r w:rsidRPr="006E1EE3">
        <w:rPr>
          <w:rFonts w:ascii="Times New Roman" w:hAnsi="Times New Roman" w:cs="Times New Roman"/>
          <w:color w:val="231F20"/>
          <w:sz w:val="24"/>
          <w:szCs w:val="24"/>
        </w:rPr>
        <w:t xml:space="preserve"> КСП проводились проверки соблюдения требований Федерального закона от 18.07.2011 №</w:t>
      </w:r>
      <w:r>
        <w:rPr>
          <w:rFonts w:ascii="Times New Roman" w:hAnsi="Times New Roman" w:cs="Times New Roman"/>
          <w:color w:val="231F20"/>
          <w:sz w:val="24"/>
          <w:szCs w:val="24"/>
        </w:rPr>
        <w:t> </w:t>
      </w:r>
      <w:r w:rsidRPr="006E1EE3">
        <w:rPr>
          <w:rFonts w:ascii="Times New Roman" w:hAnsi="Times New Roman" w:cs="Times New Roman"/>
          <w:color w:val="231F20"/>
          <w:sz w:val="24"/>
          <w:szCs w:val="24"/>
        </w:rPr>
        <w:t>223-ФЗ «О закупках товаров, работ, услуг отдельными видами юридических лиц»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(далее – Федеральный закон № 223-ФЗ)</w:t>
      </w:r>
      <w:r w:rsidRPr="006E1EE3">
        <w:rPr>
          <w:rFonts w:ascii="Times New Roman" w:hAnsi="Times New Roman" w:cs="Times New Roman"/>
          <w:color w:val="231F20"/>
          <w:sz w:val="24"/>
          <w:szCs w:val="24"/>
        </w:rPr>
        <w:t xml:space="preserve"> в рамках 2 контрольных мероприятий.</w:t>
      </w:r>
    </w:p>
    <w:p w14:paraId="50088288" w14:textId="77777777" w:rsidR="00562B56" w:rsidRPr="006E1EE3" w:rsidRDefault="00562B56" w:rsidP="00562B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71847BC3" w14:textId="77777777" w:rsidR="00562B56" w:rsidRPr="006E1EE3" w:rsidRDefault="00562B56" w:rsidP="00562B56">
      <w:pPr>
        <w:pStyle w:val="11"/>
        <w:ind w:firstLine="425"/>
        <w:rPr>
          <w:rFonts w:ascii="Times New Roman" w:hAnsi="Times New Roman" w:cs="Times New Roman"/>
          <w:color w:val="auto"/>
          <w:sz w:val="24"/>
          <w:szCs w:val="24"/>
        </w:rPr>
      </w:pPr>
      <w:r w:rsidRPr="006E1EE3">
        <w:rPr>
          <w:rFonts w:ascii="Times New Roman" w:hAnsi="Times New Roman" w:cs="Times New Roman"/>
          <w:color w:val="auto"/>
          <w:sz w:val="24"/>
          <w:szCs w:val="24"/>
        </w:rPr>
        <w:t>Общее количество проверенных объектов составило - 2. В 2025 году КСП проверено 358 закуп</w:t>
      </w:r>
      <w:r>
        <w:rPr>
          <w:rFonts w:ascii="Times New Roman" w:hAnsi="Times New Roman" w:cs="Times New Roman"/>
          <w:color w:val="auto"/>
          <w:sz w:val="24"/>
          <w:szCs w:val="24"/>
        </w:rPr>
        <w:t>ок</w:t>
      </w:r>
      <w:r w:rsidRPr="006E1EE3">
        <w:rPr>
          <w:rFonts w:ascii="Times New Roman" w:hAnsi="Times New Roman" w:cs="Times New Roman"/>
          <w:color w:val="auto"/>
          <w:sz w:val="24"/>
          <w:szCs w:val="24"/>
        </w:rPr>
        <w:t xml:space="preserve"> (договор</w:t>
      </w:r>
      <w:r>
        <w:rPr>
          <w:rFonts w:ascii="Times New Roman" w:hAnsi="Times New Roman" w:cs="Times New Roman"/>
          <w:color w:val="auto"/>
          <w:sz w:val="24"/>
          <w:szCs w:val="24"/>
        </w:rPr>
        <w:t>ов</w:t>
      </w:r>
      <w:r w:rsidRPr="006E1EE3">
        <w:rPr>
          <w:rFonts w:ascii="Times New Roman" w:hAnsi="Times New Roman" w:cs="Times New Roman"/>
          <w:color w:val="auto"/>
          <w:sz w:val="24"/>
          <w:szCs w:val="24"/>
        </w:rPr>
        <w:t>) на общую сумму 19 983,8 тыс. рублей.</w:t>
      </w:r>
    </w:p>
    <w:p w14:paraId="028CD850" w14:textId="77777777" w:rsidR="00562B56" w:rsidRPr="006E1EE3" w:rsidRDefault="00562B56" w:rsidP="00562B56">
      <w:pPr>
        <w:pStyle w:val="11"/>
        <w:ind w:firstLine="425"/>
        <w:rPr>
          <w:rFonts w:ascii="Times New Roman" w:hAnsi="Times New Roman" w:cs="Times New Roman"/>
          <w:color w:val="auto"/>
          <w:sz w:val="24"/>
          <w:szCs w:val="24"/>
        </w:rPr>
      </w:pPr>
      <w:r w:rsidRPr="006E1EE3">
        <w:rPr>
          <w:rFonts w:ascii="Times New Roman" w:hAnsi="Times New Roman" w:cs="Times New Roman"/>
          <w:color w:val="auto"/>
          <w:sz w:val="24"/>
          <w:szCs w:val="24"/>
        </w:rPr>
        <w:t>Общее количество закупок с нарушениями – 19 ед., сумма закупок с нарушениями – 735,0 тыс. рублей. Общее количество выявленных нарушений законодательства о закупках отдельными видами юридических лиц – 30 ед.</w:t>
      </w:r>
    </w:p>
    <w:p w14:paraId="70531AE6" w14:textId="77777777" w:rsidR="00562B56" w:rsidRPr="006E1EE3" w:rsidRDefault="00562B56" w:rsidP="00562B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3F3BDF58" w14:textId="77777777" w:rsidR="00562B56" w:rsidRPr="006E1EE3" w:rsidRDefault="00562B56" w:rsidP="00562B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E1EE3">
        <w:rPr>
          <w:rFonts w:ascii="Times New Roman" w:hAnsi="Times New Roman" w:cs="Times New Roman"/>
          <w:color w:val="231F20"/>
          <w:sz w:val="24"/>
          <w:szCs w:val="24"/>
        </w:rPr>
        <w:t>Наиболее характерными нарушениями, из выявленных при проверке закупок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, осуществляемых муниципальными учреждениями, в соответствии с </w:t>
      </w:r>
      <w:r w:rsidRPr="00FC5A21">
        <w:rPr>
          <w:rFonts w:ascii="Times New Roman" w:hAnsi="Times New Roman" w:cs="Times New Roman"/>
          <w:color w:val="231F20"/>
          <w:sz w:val="24"/>
          <w:szCs w:val="24"/>
        </w:rPr>
        <w:t>Федеральны</w:t>
      </w:r>
      <w:r>
        <w:rPr>
          <w:rFonts w:ascii="Times New Roman" w:hAnsi="Times New Roman" w:cs="Times New Roman"/>
          <w:color w:val="231F20"/>
          <w:sz w:val="24"/>
          <w:szCs w:val="24"/>
        </w:rPr>
        <w:t>м</w:t>
      </w:r>
      <w:r w:rsidRPr="00FC5A21">
        <w:rPr>
          <w:rFonts w:ascii="Times New Roman" w:hAnsi="Times New Roman" w:cs="Times New Roman"/>
          <w:color w:val="231F20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color w:val="231F20"/>
          <w:sz w:val="24"/>
          <w:szCs w:val="24"/>
        </w:rPr>
        <w:t>ом</w:t>
      </w:r>
      <w:r w:rsidRPr="00FC5A21">
        <w:rPr>
          <w:rFonts w:ascii="Times New Roman" w:hAnsi="Times New Roman" w:cs="Times New Roman"/>
          <w:color w:val="231F20"/>
          <w:sz w:val="24"/>
          <w:szCs w:val="24"/>
        </w:rPr>
        <w:t xml:space="preserve"> № 223-ФЗ</w:t>
      </w:r>
      <w:r w:rsidRPr="006E1EE3">
        <w:rPr>
          <w:rFonts w:ascii="Times New Roman" w:hAnsi="Times New Roman" w:cs="Times New Roman"/>
          <w:color w:val="231F20"/>
          <w:sz w:val="24"/>
          <w:szCs w:val="24"/>
        </w:rPr>
        <w:t xml:space="preserve">, являются: </w:t>
      </w:r>
    </w:p>
    <w:p w14:paraId="76F41233" w14:textId="77777777" w:rsidR="00562B56" w:rsidRPr="006E1EE3" w:rsidRDefault="00562B56" w:rsidP="00562B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E1EE3">
        <w:rPr>
          <w:rFonts w:ascii="Times New Roman" w:hAnsi="Times New Roman" w:cs="Times New Roman"/>
          <w:color w:val="231F20"/>
          <w:sz w:val="24"/>
          <w:szCs w:val="24"/>
        </w:rPr>
        <w:t>- несоблюдение принципов и основных положений о закупке товаров, работ, услуг отдельными видами юридических лиц – 11 нарушений (36,7% общего числа нарушений);</w:t>
      </w:r>
    </w:p>
    <w:p w14:paraId="0C6B2990" w14:textId="77777777" w:rsidR="00562B56" w:rsidRPr="006E1EE3" w:rsidRDefault="00562B56" w:rsidP="00562B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E1EE3">
        <w:rPr>
          <w:rFonts w:ascii="Times New Roman" w:hAnsi="Times New Roman" w:cs="Times New Roman"/>
          <w:color w:val="231F20"/>
          <w:sz w:val="24"/>
          <w:szCs w:val="24"/>
        </w:rPr>
        <w:t>- нарушение установленного порядка, требований к осуществлению закупок товаров, работ, услуг отдельными видами юридических лиц (отсутствие в договоре информации, предусмотренной законом) – 11 нарушений (36,7% общего числа нарушений);</w:t>
      </w:r>
    </w:p>
    <w:p w14:paraId="062636AF" w14:textId="77777777" w:rsidR="00562B56" w:rsidRPr="00195DC4" w:rsidRDefault="00562B56" w:rsidP="00562B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E1EE3">
        <w:rPr>
          <w:rFonts w:ascii="Times New Roman" w:hAnsi="Times New Roman" w:cs="Times New Roman"/>
          <w:color w:val="231F20"/>
          <w:sz w:val="24"/>
          <w:szCs w:val="24"/>
        </w:rPr>
        <w:t>- несоответствие акта, регламентирующего правила закупки товаров, работ, услуг отдельными видами юридических лиц</w:t>
      </w:r>
      <w:r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6E1EE3">
        <w:rPr>
          <w:rFonts w:ascii="Times New Roman" w:hAnsi="Times New Roman" w:cs="Times New Roman"/>
          <w:color w:val="231F20"/>
          <w:sz w:val="24"/>
          <w:szCs w:val="24"/>
        </w:rPr>
        <w:t xml:space="preserve"> установленным требованиям – 5 нарушени</w:t>
      </w:r>
      <w:r>
        <w:rPr>
          <w:rFonts w:ascii="Times New Roman" w:hAnsi="Times New Roman" w:cs="Times New Roman"/>
          <w:color w:val="231F20"/>
          <w:sz w:val="24"/>
          <w:szCs w:val="24"/>
        </w:rPr>
        <w:t>й</w:t>
      </w:r>
      <w:r w:rsidRPr="006E1EE3">
        <w:rPr>
          <w:rFonts w:ascii="Times New Roman" w:hAnsi="Times New Roman" w:cs="Times New Roman"/>
          <w:color w:val="231F20"/>
          <w:sz w:val="24"/>
          <w:szCs w:val="24"/>
        </w:rPr>
        <w:t xml:space="preserve"> (16,7% общего числа нарушений).</w:t>
      </w:r>
    </w:p>
    <w:p w14:paraId="030C81FD" w14:textId="77777777" w:rsidR="00562B56" w:rsidRDefault="00562B56" w:rsidP="00562B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11E3730C" w14:textId="77777777" w:rsidR="00562B56" w:rsidRPr="0065343F" w:rsidRDefault="00562B56" w:rsidP="00562B56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color w:val="2A6727"/>
          <w:sz w:val="26"/>
          <w:szCs w:val="26"/>
        </w:rPr>
      </w:pPr>
      <w:r w:rsidRPr="0065343F">
        <w:rPr>
          <w:rFonts w:ascii="Times New Roman" w:hAnsi="Times New Roman" w:cs="Times New Roman"/>
          <w:b/>
          <w:color w:val="2A6727"/>
          <w:sz w:val="26"/>
          <w:szCs w:val="26"/>
        </w:rPr>
        <w:t>Экспертно – аналитическая деятельность</w:t>
      </w:r>
    </w:p>
    <w:p w14:paraId="5DC14650" w14:textId="77777777" w:rsidR="00562B56" w:rsidRPr="0065343F" w:rsidRDefault="00562B56" w:rsidP="0056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В соответствии с планом работы Палаты на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2025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год было проведено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33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экспертно-аналитических мероприяти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й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</w:t>
      </w:r>
    </w:p>
    <w:p w14:paraId="5AB34952" w14:textId="77777777" w:rsidR="00562B56" w:rsidRPr="0065343F" w:rsidRDefault="00562B56" w:rsidP="0056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8585A"/>
          <w:sz w:val="24"/>
          <w:szCs w:val="24"/>
          <w:lang w:eastAsia="ru-RU"/>
        </w:rPr>
      </w:pPr>
    </w:p>
    <w:p w14:paraId="2B10BBF6" w14:textId="77777777" w:rsidR="00562B56" w:rsidRPr="006451E0" w:rsidRDefault="00562B56" w:rsidP="00562B56">
      <w:pPr>
        <w:pStyle w:val="11"/>
        <w:ind w:firstLine="425"/>
        <w:rPr>
          <w:rFonts w:ascii="Times New Roman" w:hAnsi="Times New Roman" w:cs="Times New Roman"/>
          <w:color w:val="auto"/>
          <w:sz w:val="24"/>
          <w:szCs w:val="24"/>
        </w:rPr>
      </w:pPr>
      <w:r w:rsidRPr="006451E0">
        <w:rPr>
          <w:rFonts w:ascii="Times New Roman" w:hAnsi="Times New Roman" w:cs="Times New Roman"/>
          <w:color w:val="auto"/>
          <w:sz w:val="24"/>
          <w:szCs w:val="24"/>
        </w:rPr>
        <w:t>В рамках экспертно-аналитической работы КСП была проведена экспертиза и подготовлены:</w:t>
      </w:r>
    </w:p>
    <w:p w14:paraId="3C0798CB" w14:textId="77777777" w:rsidR="00562B56" w:rsidRPr="00DE32D4" w:rsidRDefault="00562B56" w:rsidP="00562B56">
      <w:pPr>
        <w:pStyle w:val="11"/>
        <w:ind w:firstLine="425"/>
        <w:rPr>
          <w:rFonts w:ascii="Times New Roman" w:hAnsi="Times New Roman" w:cs="Times New Roman"/>
          <w:color w:val="auto"/>
          <w:sz w:val="24"/>
          <w:szCs w:val="24"/>
        </w:rPr>
      </w:pP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- заключение по результатам внешней проверки годового отчета об исполнении бюджета города за </w:t>
      </w:r>
      <w:r>
        <w:rPr>
          <w:rFonts w:ascii="Times New Roman" w:hAnsi="Times New Roman" w:cs="Times New Roman"/>
          <w:color w:val="auto"/>
          <w:sz w:val="24"/>
          <w:szCs w:val="24"/>
        </w:rPr>
        <w:t>2024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год;</w:t>
      </w:r>
    </w:p>
    <w:p w14:paraId="0A7D8814" w14:textId="77777777" w:rsidR="00562B56" w:rsidRDefault="00562B56" w:rsidP="00562B56">
      <w:pPr>
        <w:pStyle w:val="11"/>
        <w:ind w:firstLine="425"/>
        <w:rPr>
          <w:rFonts w:ascii="Times New Roman" w:hAnsi="Times New Roman" w:cs="Times New Roman"/>
          <w:color w:val="auto"/>
          <w:sz w:val="24"/>
          <w:szCs w:val="24"/>
        </w:rPr>
      </w:pPr>
      <w:r w:rsidRPr="006451E0">
        <w:rPr>
          <w:rFonts w:ascii="Times New Roman" w:hAnsi="Times New Roman" w:cs="Times New Roman"/>
          <w:color w:val="auto"/>
          <w:sz w:val="24"/>
          <w:szCs w:val="24"/>
        </w:rPr>
        <w:t>-</w:t>
      </w:r>
      <w:r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заключение на проект решения Собрания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города Обнинска 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>«О бюджете города Обнинска на 202</w:t>
      </w:r>
      <w:r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> год и плановый период 202</w:t>
      </w:r>
      <w:r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годов»;</w:t>
      </w:r>
      <w:r w:rsidRPr="002A3A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2 аналитические информации: по основным характеристикам бюджета, представленным в проекте решения Собрания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города Обнинска 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>«О бюджете города Обнинска на 202</w:t>
      </w:r>
      <w:r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год и плановый период 202</w:t>
      </w:r>
      <w:r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годов»; по проекту решения Собрания </w:t>
      </w:r>
      <w:r>
        <w:rPr>
          <w:rFonts w:ascii="Times New Roman" w:hAnsi="Times New Roman" w:cs="Times New Roman"/>
          <w:color w:val="auto"/>
          <w:sz w:val="24"/>
          <w:szCs w:val="24"/>
        </w:rPr>
        <w:t>города Обнинска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«О бюджете города Обнинска на 202</w:t>
      </w:r>
      <w:r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год и плановый период 202</w:t>
      </w:r>
      <w:r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годов» (второе чтение);</w:t>
      </w:r>
    </w:p>
    <w:p w14:paraId="0CDA2310" w14:textId="77777777" w:rsidR="00562B56" w:rsidRPr="006451E0" w:rsidRDefault="00562B56" w:rsidP="00562B56">
      <w:pPr>
        <w:pStyle w:val="11"/>
        <w:ind w:firstLine="425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- 4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заключени</w:t>
      </w:r>
      <w:r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на внесение изменений в бюджет города Обнинска на </w:t>
      </w:r>
      <w:r>
        <w:rPr>
          <w:rFonts w:ascii="Times New Roman" w:hAnsi="Times New Roman" w:cs="Times New Roman"/>
          <w:color w:val="auto"/>
          <w:sz w:val="24"/>
          <w:szCs w:val="24"/>
        </w:rPr>
        <w:t>2025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год и плановый период 202</w:t>
      </w:r>
      <w:r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годов;</w:t>
      </w:r>
    </w:p>
    <w:p w14:paraId="277FCE58" w14:textId="77777777" w:rsidR="00562B56" w:rsidRPr="006451E0" w:rsidRDefault="00562B56" w:rsidP="00562B56">
      <w:pPr>
        <w:pStyle w:val="11"/>
        <w:ind w:firstLine="425"/>
        <w:rPr>
          <w:rFonts w:ascii="Times New Roman" w:hAnsi="Times New Roman" w:cs="Times New Roman"/>
          <w:color w:val="auto"/>
          <w:sz w:val="24"/>
          <w:szCs w:val="24"/>
        </w:rPr>
      </w:pPr>
      <w:r w:rsidRPr="006451E0">
        <w:rPr>
          <w:rFonts w:ascii="Times New Roman" w:hAnsi="Times New Roman" w:cs="Times New Roman"/>
          <w:color w:val="auto"/>
          <w:sz w:val="24"/>
          <w:szCs w:val="24"/>
        </w:rPr>
        <w:t>- </w:t>
      </w:r>
      <w:r>
        <w:rPr>
          <w:rFonts w:ascii="Times New Roman" w:hAnsi="Times New Roman" w:cs="Times New Roman"/>
          <w:color w:val="auto"/>
          <w:sz w:val="24"/>
          <w:szCs w:val="24"/>
        </w:rPr>
        <w:t>16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заключени</w:t>
      </w:r>
      <w:r>
        <w:rPr>
          <w:rFonts w:ascii="Times New Roman" w:hAnsi="Times New Roman" w:cs="Times New Roman"/>
          <w:color w:val="auto"/>
          <w:sz w:val="24"/>
          <w:szCs w:val="24"/>
        </w:rPr>
        <w:t>й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на проекты муниципальных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правовых актов;</w:t>
      </w:r>
    </w:p>
    <w:p w14:paraId="6D1BBBEA" w14:textId="77777777" w:rsidR="00562B56" w:rsidRPr="006451E0" w:rsidRDefault="00562B56" w:rsidP="00562B56">
      <w:pPr>
        <w:pStyle w:val="11"/>
        <w:ind w:firstLine="425"/>
        <w:rPr>
          <w:rFonts w:ascii="Times New Roman" w:hAnsi="Times New Roman" w:cs="Times New Roman"/>
          <w:color w:val="auto"/>
          <w:sz w:val="24"/>
          <w:szCs w:val="24"/>
        </w:rPr>
      </w:pP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- 3 </w:t>
      </w:r>
      <w:r>
        <w:rPr>
          <w:rFonts w:ascii="Times New Roman" w:hAnsi="Times New Roman" w:cs="Times New Roman"/>
          <w:color w:val="auto"/>
          <w:sz w:val="24"/>
          <w:szCs w:val="24"/>
        </w:rPr>
        <w:t>отчета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по итогам мониторинга бюджетного процесса в городе Обнинске (за 1-й квартал, 1-е полугодие и 9 месяцев </w:t>
      </w:r>
      <w:r>
        <w:rPr>
          <w:rFonts w:ascii="Times New Roman" w:hAnsi="Times New Roman" w:cs="Times New Roman"/>
          <w:color w:val="auto"/>
          <w:sz w:val="24"/>
          <w:szCs w:val="24"/>
        </w:rPr>
        <w:t>2025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года); </w:t>
      </w:r>
    </w:p>
    <w:p w14:paraId="5C04F7D1" w14:textId="77777777" w:rsidR="00562B56" w:rsidRPr="006451E0" w:rsidRDefault="00562B56" w:rsidP="00562B56">
      <w:pPr>
        <w:pStyle w:val="11"/>
        <w:ind w:firstLine="425"/>
        <w:rPr>
          <w:rFonts w:ascii="Times New Roman" w:hAnsi="Times New Roman" w:cs="Times New Roman"/>
          <w:color w:val="auto"/>
          <w:sz w:val="24"/>
          <w:szCs w:val="24"/>
        </w:rPr>
      </w:pPr>
      <w:r w:rsidRPr="006451E0">
        <w:rPr>
          <w:rFonts w:ascii="Times New Roman" w:hAnsi="Times New Roman" w:cs="Times New Roman"/>
          <w:color w:val="auto"/>
          <w:sz w:val="24"/>
          <w:szCs w:val="24"/>
        </w:rPr>
        <w:t>- 4</w:t>
      </w:r>
      <w:r>
        <w:rPr>
          <w:rFonts w:ascii="Times New Roman" w:hAnsi="Times New Roman" w:cs="Times New Roman"/>
          <w:color w:val="auto"/>
          <w:sz w:val="24"/>
          <w:szCs w:val="24"/>
        </w:rPr>
        <w:t> отчета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по итогам мониторинга реализации национальных проектов на территории города Обнинска (за </w:t>
      </w:r>
      <w:r>
        <w:rPr>
          <w:rFonts w:ascii="Times New Roman" w:hAnsi="Times New Roman" w:cs="Times New Roman"/>
          <w:color w:val="auto"/>
          <w:sz w:val="24"/>
          <w:szCs w:val="24"/>
        </w:rPr>
        <w:t>2024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год, 1-й квартал, 1-е полугодие и 9 месяцев </w:t>
      </w:r>
      <w:r>
        <w:rPr>
          <w:rFonts w:ascii="Times New Roman" w:hAnsi="Times New Roman" w:cs="Times New Roman"/>
          <w:color w:val="auto"/>
          <w:sz w:val="24"/>
          <w:szCs w:val="24"/>
        </w:rPr>
        <w:t>2025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года);</w:t>
      </w:r>
    </w:p>
    <w:p w14:paraId="45A3F7D9" w14:textId="77777777" w:rsidR="00562B56" w:rsidRPr="006451E0" w:rsidRDefault="00562B56" w:rsidP="00562B56">
      <w:pPr>
        <w:pStyle w:val="11"/>
        <w:ind w:firstLine="425"/>
        <w:rPr>
          <w:rFonts w:ascii="Times New Roman" w:hAnsi="Times New Roman" w:cs="Times New Roman"/>
          <w:color w:val="auto"/>
          <w:sz w:val="24"/>
          <w:szCs w:val="24"/>
        </w:rPr>
      </w:pPr>
      <w:r w:rsidRPr="006451E0">
        <w:rPr>
          <w:rFonts w:ascii="Times New Roman" w:hAnsi="Times New Roman" w:cs="Times New Roman"/>
          <w:color w:val="auto"/>
          <w:sz w:val="24"/>
          <w:szCs w:val="24"/>
        </w:rPr>
        <w:lastRenderedPageBreak/>
        <w:t>- </w:t>
      </w:r>
      <w:r>
        <w:rPr>
          <w:rFonts w:ascii="Times New Roman" w:hAnsi="Times New Roman" w:cs="Times New Roman"/>
          <w:color w:val="auto"/>
          <w:sz w:val="24"/>
          <w:szCs w:val="24"/>
        </w:rPr>
        <w:t>отчет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по итогам оценки </w:t>
      </w:r>
      <w:r w:rsidRPr="00A2012F">
        <w:rPr>
          <w:rFonts w:ascii="Times New Roman" w:hAnsi="Times New Roman" w:cs="Times New Roman"/>
          <w:color w:val="auto"/>
          <w:sz w:val="24"/>
          <w:szCs w:val="24"/>
        </w:rPr>
        <w:t xml:space="preserve">эффективности предоставления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 2024 году </w:t>
      </w:r>
      <w:r w:rsidRPr="00A2012F">
        <w:rPr>
          <w:rFonts w:ascii="Times New Roman" w:hAnsi="Times New Roman" w:cs="Times New Roman"/>
          <w:color w:val="auto"/>
          <w:sz w:val="24"/>
          <w:szCs w:val="24"/>
        </w:rPr>
        <w:t>налоговых и иных льгот и преимуществ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за счет</w:t>
      </w:r>
      <w:r w:rsidRPr="00A2012F">
        <w:rPr>
          <w:rFonts w:ascii="Times New Roman" w:hAnsi="Times New Roman" w:cs="Times New Roman"/>
          <w:color w:val="auto"/>
          <w:sz w:val="24"/>
          <w:szCs w:val="24"/>
        </w:rPr>
        <w:t xml:space="preserve"> средств местного бюджета и имущества, находящегося в муниципальной собственности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3E682164" w14:textId="77777777" w:rsidR="00562B56" w:rsidRDefault="00562B56" w:rsidP="00562B56">
      <w:pPr>
        <w:pStyle w:val="11"/>
        <w:ind w:firstLine="425"/>
        <w:rPr>
          <w:rFonts w:ascii="Times New Roman" w:hAnsi="Times New Roman" w:cs="Times New Roman"/>
          <w:color w:val="auto"/>
          <w:sz w:val="24"/>
          <w:szCs w:val="24"/>
        </w:rPr>
      </w:pPr>
      <w:r w:rsidRPr="006451E0">
        <w:rPr>
          <w:rFonts w:ascii="Times New Roman" w:hAnsi="Times New Roman" w:cs="Times New Roman"/>
          <w:color w:val="auto"/>
          <w:sz w:val="24"/>
          <w:szCs w:val="24"/>
        </w:rPr>
        <w:t>- </w:t>
      </w:r>
      <w:r>
        <w:rPr>
          <w:rFonts w:ascii="Times New Roman" w:hAnsi="Times New Roman" w:cs="Times New Roman"/>
          <w:color w:val="auto"/>
          <w:sz w:val="24"/>
          <w:szCs w:val="24"/>
        </w:rPr>
        <w:t>отчет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по итогам анализа исполнения контрактуемых расходов в </w:t>
      </w:r>
      <w:r>
        <w:rPr>
          <w:rFonts w:ascii="Times New Roman" w:hAnsi="Times New Roman" w:cs="Times New Roman"/>
          <w:color w:val="auto"/>
          <w:sz w:val="24"/>
          <w:szCs w:val="24"/>
        </w:rPr>
        <w:t>2024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году заказчиками муниципального образования «Город Обнинск» (выборочно);</w:t>
      </w:r>
    </w:p>
    <w:p w14:paraId="3BD5BFD6" w14:textId="77777777" w:rsidR="00562B56" w:rsidRPr="00BF106C" w:rsidRDefault="00562B56" w:rsidP="00562B56">
      <w:pPr>
        <w:pStyle w:val="11"/>
        <w:ind w:firstLine="425"/>
        <w:rPr>
          <w:rFonts w:ascii="Times New Roman" w:hAnsi="Times New Roman" w:cs="Times New Roman"/>
          <w:color w:val="auto"/>
          <w:sz w:val="24"/>
          <w:szCs w:val="24"/>
        </w:rPr>
      </w:pPr>
      <w:r w:rsidRPr="0010673C">
        <w:rPr>
          <w:rFonts w:ascii="Times New Roman" w:hAnsi="Times New Roman" w:cs="Times New Roman"/>
          <w:color w:val="auto"/>
          <w:sz w:val="24"/>
          <w:szCs w:val="24"/>
        </w:rPr>
        <w:t xml:space="preserve">- отчет по итогам </w:t>
      </w:r>
      <w:r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BF106C">
        <w:rPr>
          <w:rFonts w:ascii="Times New Roman" w:hAnsi="Times New Roman" w:cs="Times New Roman"/>
          <w:color w:val="auto"/>
          <w:sz w:val="24"/>
          <w:szCs w:val="24"/>
        </w:rPr>
        <w:t>нализ</w:t>
      </w:r>
      <w:r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BF106C">
        <w:rPr>
          <w:rFonts w:ascii="Times New Roman" w:hAnsi="Times New Roman" w:cs="Times New Roman"/>
          <w:color w:val="auto"/>
          <w:sz w:val="24"/>
          <w:szCs w:val="24"/>
        </w:rPr>
        <w:t xml:space="preserve"> деятельности отдельных главных администраторов (администраторов) доходов по управлению дебиторской задолженностью по неналоговым доходам бюджета города Обнинска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122D4BAA" w14:textId="77777777" w:rsidR="00562B56" w:rsidRPr="006451E0" w:rsidRDefault="00562B56" w:rsidP="00562B56">
      <w:pPr>
        <w:pStyle w:val="11"/>
        <w:ind w:firstLine="425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 отчет по итогам анализа </w:t>
      </w:r>
      <w:r w:rsidRPr="00BF106C">
        <w:rPr>
          <w:rFonts w:ascii="Times New Roman" w:hAnsi="Times New Roman" w:cs="Times New Roman"/>
          <w:color w:val="auto"/>
          <w:sz w:val="24"/>
          <w:szCs w:val="24"/>
        </w:rPr>
        <w:t>реализации мер, предусмотренных бюджетной и налоговой политикой муниципального образования «Город Обнинск», направленных на расширение налоговой базы по имущественным налогам (налогу на имущество физических лиц, земельному налогу)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EBC60D8" w14:textId="77777777" w:rsidR="00562B56" w:rsidRDefault="00562B56" w:rsidP="0056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14:paraId="4BDC1F20" w14:textId="77777777" w:rsidR="00562B56" w:rsidRPr="008729F8" w:rsidRDefault="00562B56" w:rsidP="0056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8729F8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3.1. В</w:t>
      </w:r>
      <w:r w:rsidRPr="008729F8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 соответствии со ст. 264.4 БК РФ, ст. 13 р</w:t>
      </w:r>
      <w:hyperlink r:id="rId7" w:history="1">
        <w:r w:rsidRPr="008729F8">
          <w:rPr>
            <w:rFonts w:ascii="Times New Roman" w:hAnsi="Times New Roman" w:cs="Times New Roman"/>
            <w:color w:val="231F20"/>
            <w:sz w:val="24"/>
            <w:szCs w:val="24"/>
          </w:rPr>
          <w:t>ешени</w:t>
        </w:r>
      </w:hyperlink>
      <w:r w:rsidRPr="008729F8">
        <w:rPr>
          <w:rFonts w:ascii="Times New Roman" w:hAnsi="Times New Roman" w:cs="Times New Roman"/>
          <w:color w:val="231F20"/>
          <w:sz w:val="24"/>
          <w:szCs w:val="24"/>
        </w:rPr>
        <w:t>я Обнинского городского Собрания от 27.09.2011 № 05-24 «Об утверждении Положения «О бюджетном процессе в городе Обнинске» (далее - Положение о бюджетном процессе)</w:t>
      </w:r>
      <w:r w:rsidRPr="008729F8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 с учетом данных внешней проверки годовой бюджетной отчетности главных администраторов бюджетных средств </w:t>
      </w:r>
      <w:r w:rsidRPr="008729F8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Палатой было подготовлено </w:t>
      </w:r>
      <w:r w:rsidRPr="008729F8">
        <w:rPr>
          <w:rFonts w:ascii="Times New Roman" w:eastAsia="Calibri" w:hAnsi="Times New Roman" w:cs="Times New Roman"/>
          <w:color w:val="231F20"/>
          <w:sz w:val="24"/>
          <w:szCs w:val="24"/>
        </w:rPr>
        <w:t>заключение на отчет об исполнении бюджета города за 2024 год.</w:t>
      </w:r>
    </w:p>
    <w:p w14:paraId="56A2F4C0" w14:textId="77777777" w:rsidR="00562B56" w:rsidRPr="008729F8" w:rsidRDefault="00562B56" w:rsidP="00562B5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8729F8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В заключении на отчет об исполнении бюджета города за 2024 год было отмечено, что перечень представленных документов, а также срок предоставления отчета об исполнении бюджета соответствовали требованиям ст. 13 Положения о бюджетном процессе. </w:t>
      </w:r>
    </w:p>
    <w:p w14:paraId="449459B1" w14:textId="77777777" w:rsidR="00562B56" w:rsidRPr="008729F8" w:rsidRDefault="00562B56" w:rsidP="00562B56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показатели исполнения бюджета города за 2024 год:</w:t>
      </w:r>
    </w:p>
    <w:p w14:paraId="0A41C361" w14:textId="77777777" w:rsidR="00562B56" w:rsidRPr="008729F8" w:rsidRDefault="00562B56" w:rsidP="00562B56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общий объем доходов бюджета города исполнен в сумме 7 525 650,5 тыс. рублей, </w:t>
      </w:r>
      <w:r w:rsidRPr="008729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том числе: объем налоговых и неналоговых доходов – 3 794 744,8 тыс. рублей, объем безвозмездных поступлений – 3 730 905,7 тыс. рублей;</w:t>
      </w:r>
    </w:p>
    <w:p w14:paraId="17F11F2E" w14:textId="77777777" w:rsidR="00562B56" w:rsidRPr="008729F8" w:rsidRDefault="00562B56" w:rsidP="00562B56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общий объем расходов бюджета города исполнен в сумме </w:t>
      </w:r>
      <w:r w:rsidRPr="008729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7 236 069,2 тыс. рублей; </w:t>
      </w:r>
    </w:p>
    <w:p w14:paraId="1845F15E" w14:textId="77777777" w:rsidR="00562B56" w:rsidRPr="008729F8" w:rsidRDefault="00562B56" w:rsidP="00562B56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F8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профицит  бюджета города составил 289 581,3 тыс. рублей;</w:t>
      </w:r>
    </w:p>
    <w:p w14:paraId="4E496BD4" w14:textId="77777777" w:rsidR="00562B56" w:rsidRPr="008729F8" w:rsidRDefault="00562B56" w:rsidP="00562B56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муниципальный внутренний долг по состоянию на 01.01.2025 года составил </w:t>
      </w:r>
      <w:r w:rsidRPr="008729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250 000,0 тыс. рублей. Муниципальные гарантии не предоставлялись.</w:t>
      </w:r>
    </w:p>
    <w:p w14:paraId="71BA8532" w14:textId="77777777" w:rsidR="00562B56" w:rsidRPr="008729F8" w:rsidRDefault="00562B56" w:rsidP="00562B56">
      <w:pPr>
        <w:tabs>
          <w:tab w:val="left" w:pos="2160"/>
          <w:tab w:val="center" w:pos="53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предусмотренные на реализацию муниципальных программ, исполнены в сумме 6 070 669,0 тыс. рублей, или на 97,3% к запланированному сводной бюджетной росписью объему бюджетных ассигнований. Доля расходов, исполненных программно-целевым методом, в общем объеме расходов бюджета составила 83,9%.</w:t>
      </w:r>
    </w:p>
    <w:p w14:paraId="1B94BF8F" w14:textId="77777777" w:rsidR="00562B56" w:rsidRPr="008729F8" w:rsidRDefault="00562B56" w:rsidP="0056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бюджета города на капитальные вложения в соответствии с уточненной сводной бюджетной росписью были запланированы в объеме 897 208,1 тыс. рублей. Исполнение расходов составило 896 565,6 тыс. рублей, или 99,9% к уточненной сводной бюджетной росписи. Доля бюджетных инвестиций в объекты капитального строительства в общем объеме исполненных расходов бюджета города за 2024 год составила 11,9%, что выше уровня 2023 года на 3,1%. </w:t>
      </w:r>
    </w:p>
    <w:p w14:paraId="3485961C" w14:textId="77777777" w:rsidR="00562B56" w:rsidRPr="008729F8" w:rsidRDefault="00562B56" w:rsidP="00562B5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представленных документов, а также срок предоставления годового отчета об исполнении бюджета муниципального образования «Город Обнинск» за 2024 год соответств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вовал</w:t>
      </w:r>
      <w:r w:rsidRPr="00872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 ст. 264.4, ст. 264.5 БК РФ, ст. 13 Положения о бюджетном процессе. </w:t>
      </w:r>
    </w:p>
    <w:p w14:paraId="03DC7CC1" w14:textId="77777777" w:rsidR="00562B56" w:rsidRPr="0065343F" w:rsidRDefault="00562B56" w:rsidP="00562B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BF10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CAA9DA7" w14:textId="77777777" w:rsidR="00562B56" w:rsidRPr="008729F8" w:rsidRDefault="00562B56" w:rsidP="0056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8729F8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3.2. По результатам проведения мониторинга бюджетного процесса в 2025 году Палата представляла Собрани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ю</w:t>
      </w:r>
      <w:r w:rsidRPr="008729F8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города Обнинска и Администрации города Обнинска отчеты по итогам анализа исполнения бюджета за 1-й квартал, 1-е полугодие, 9 месяцев 2025 года. Информация содержала оценку исполнения доходных и расходных статей </w:t>
      </w:r>
      <w:r w:rsidRPr="008729F8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 xml:space="preserve">бюджета города, анализ выявленных отклонений, а также предложения, направленные на совершенствование бюджетного процесса. </w:t>
      </w:r>
    </w:p>
    <w:p w14:paraId="786EE994" w14:textId="77777777" w:rsidR="00562B56" w:rsidRPr="008729F8" w:rsidRDefault="00562B56" w:rsidP="0056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03D1C5" w14:textId="77777777" w:rsidR="00562B56" w:rsidRDefault="00562B56" w:rsidP="0056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3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.3.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В рамках предварительного контроля внесения изменений в бюджет города КСП проводились экспертизы проектов решений о внесении изменений в бюджет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2025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года, по результатам экспертиз было подготовлено </w:t>
      </w:r>
      <w:r w:rsidRPr="00B57D1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4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заключени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я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</w:t>
      </w:r>
    </w:p>
    <w:p w14:paraId="779347E8" w14:textId="77777777" w:rsidR="00562B56" w:rsidRPr="0065343F" w:rsidRDefault="00562B56" w:rsidP="0056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14:paraId="683A8B36" w14:textId="77777777" w:rsidR="00562B56" w:rsidRPr="008729F8" w:rsidRDefault="00562B56" w:rsidP="00562B5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F8">
        <w:rPr>
          <w:rFonts w:ascii="Times New Roman" w:eastAsia="Times New Roman" w:hAnsi="Times New Roman" w:cs="Times New Roman"/>
          <w:sz w:val="24"/>
          <w:szCs w:val="24"/>
          <w:lang w:eastAsia="ru-RU"/>
        </w:rPr>
        <w:t>3.4. В соответствии с Положением о бюджетном процессе, при проведении экспертизы проекта бюджета на 2026 год плановый период 2027 и 2028 годов КСП были подготовлены:</w:t>
      </w:r>
    </w:p>
    <w:p w14:paraId="28FB813E" w14:textId="77777777" w:rsidR="00562B56" w:rsidRPr="008729F8" w:rsidRDefault="00562B56" w:rsidP="00562B5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F8">
        <w:rPr>
          <w:rFonts w:ascii="Times New Roman" w:eastAsia="Times New Roman" w:hAnsi="Times New Roman" w:cs="Times New Roman"/>
          <w:sz w:val="24"/>
          <w:szCs w:val="24"/>
          <w:lang w:eastAsia="ru-RU"/>
        </w:rPr>
        <w:t>- аналитическая информация по основным характеристикам бюджета на очередной финансовый год и плановый период;</w:t>
      </w:r>
    </w:p>
    <w:p w14:paraId="5399ED35" w14:textId="77777777" w:rsidR="00562B56" w:rsidRPr="008729F8" w:rsidRDefault="00562B56" w:rsidP="00562B5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F8">
        <w:rPr>
          <w:rFonts w:ascii="Times New Roman" w:eastAsia="Times New Roman" w:hAnsi="Times New Roman" w:cs="Times New Roman"/>
          <w:sz w:val="24"/>
          <w:szCs w:val="24"/>
          <w:lang w:eastAsia="ru-RU"/>
        </w:rPr>
        <w:t>- заключение на проект бюджета;</w:t>
      </w:r>
    </w:p>
    <w:p w14:paraId="532DE13F" w14:textId="77777777" w:rsidR="00562B56" w:rsidRPr="008729F8" w:rsidRDefault="00562B56" w:rsidP="00562B5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аналитическая информация в части внесенных изменений в основные характеристики бюджета и поправок, рекомендованных к принятию </w:t>
      </w:r>
      <w:r w:rsidRPr="008729F8">
        <w:rPr>
          <w:rFonts w:ascii="Times New Roman" w:hAnsi="Times New Roman" w:cs="Times New Roman"/>
          <w:sz w:val="24"/>
          <w:szCs w:val="24"/>
        </w:rPr>
        <w:t>Собранием города Обнинска</w:t>
      </w:r>
      <w:r w:rsidRPr="00872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(второе чтение).</w:t>
      </w:r>
    </w:p>
    <w:p w14:paraId="2227034F" w14:textId="77777777" w:rsidR="00562B56" w:rsidRPr="008729F8" w:rsidRDefault="00562B56" w:rsidP="00562B5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872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подготовке заключения на проект бюджета </w:t>
      </w:r>
      <w:r w:rsidRPr="008729F8">
        <w:rPr>
          <w:rFonts w:ascii="Times New Roman" w:hAnsi="Times New Roman" w:cs="Times New Roman"/>
          <w:sz w:val="24"/>
          <w:szCs w:val="24"/>
        </w:rPr>
        <w:t>КСП</w:t>
      </w:r>
      <w:r w:rsidRPr="00872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проанализированы основные показатели прогноза социально-экономического развития города Обнинска на 2026 год и плановый период 2027 и 2028 годов.</w:t>
      </w:r>
    </w:p>
    <w:p w14:paraId="4DB6A3DF" w14:textId="77777777" w:rsidR="00562B56" w:rsidRPr="008729F8" w:rsidRDefault="00562B56" w:rsidP="00562B5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29F8">
        <w:rPr>
          <w:rFonts w:ascii="Times New Roman" w:eastAsia="Calibri" w:hAnsi="Times New Roman" w:cs="Times New Roman"/>
          <w:sz w:val="24"/>
          <w:szCs w:val="24"/>
        </w:rPr>
        <w:t>В ходе проведения экспертизы проекта бюджета КСП была также осуществлена проверка соответствия проекта бюджета, документов и материалов, представленных одновременно с проектом бюджета, требованиям БК РФ, Положению о бюджетном процессе в городе Обнинске, действующему законодательству. Оценено состояние нормативной и методической базы, регламентирующей порядок формирования проекта бюджета, обоснованность расчетов показателей бюджета.</w:t>
      </w:r>
      <w:r w:rsidRPr="008729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72B9885C" w14:textId="77777777" w:rsidR="00562B56" w:rsidRPr="008729F8" w:rsidRDefault="00562B56" w:rsidP="00562B5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58585A"/>
          <w:sz w:val="24"/>
          <w:szCs w:val="24"/>
          <w:highlight w:val="green"/>
        </w:rPr>
      </w:pPr>
    </w:p>
    <w:p w14:paraId="52B13645" w14:textId="77777777" w:rsidR="00562B56" w:rsidRPr="006451E0" w:rsidRDefault="00562B56" w:rsidP="00562B56">
      <w:pPr>
        <w:pStyle w:val="11"/>
        <w:ind w:firstLine="425"/>
        <w:rPr>
          <w:rFonts w:ascii="Times New Roman" w:hAnsi="Times New Roman" w:cs="Times New Roman"/>
          <w:color w:val="auto"/>
          <w:sz w:val="24"/>
          <w:szCs w:val="24"/>
        </w:rPr>
      </w:pP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По результатам экспертизы </w:t>
      </w:r>
      <w:r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роекта бюджета КСП было, в частности, отмечено, что в </w:t>
      </w:r>
      <w:r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роекте решения представлены все основные характеристики бюджета, установленные ст. 184.1 БК РФ, документы и материалы, представленные одновременно с </w:t>
      </w:r>
      <w:r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роектом решения, соответствуют ст. 184.2 БК РФ и ст. 5 Положения о бюджетном процессе. </w:t>
      </w:r>
    </w:p>
    <w:p w14:paraId="737BD0DA" w14:textId="77777777" w:rsidR="00562B56" w:rsidRPr="006451E0" w:rsidRDefault="00562B56" w:rsidP="00562B56">
      <w:pPr>
        <w:pStyle w:val="11"/>
        <w:ind w:firstLine="425"/>
        <w:rPr>
          <w:rFonts w:ascii="Times New Roman" w:hAnsi="Times New Roman" w:cs="Times New Roman"/>
          <w:color w:val="auto"/>
          <w:sz w:val="24"/>
          <w:szCs w:val="24"/>
        </w:rPr>
      </w:pP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При формировании </w:t>
      </w:r>
      <w:r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>роекта бюджета выдержаны требования норм БК РФ относительно размера дефицита бюджета, объема муниципального долга</w:t>
      </w:r>
      <w:r>
        <w:rPr>
          <w:rFonts w:ascii="Times New Roman" w:hAnsi="Times New Roman" w:cs="Times New Roman"/>
          <w:color w:val="auto"/>
          <w:sz w:val="24"/>
          <w:szCs w:val="24"/>
        </w:rPr>
        <w:t>, объема условно утверждаемых расходов, объема бюджетных ассигнований Муниципального дорожного фонда.</w:t>
      </w:r>
    </w:p>
    <w:p w14:paraId="70082897" w14:textId="77777777" w:rsidR="00562B56" w:rsidRPr="006451E0" w:rsidRDefault="00562B56" w:rsidP="00562B5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</w:p>
    <w:p w14:paraId="040A0A31" w14:textId="77777777" w:rsidR="00562B56" w:rsidRPr="0065343F" w:rsidRDefault="00562B56" w:rsidP="00562B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F061E">
        <w:rPr>
          <w:rFonts w:ascii="Times New Roman" w:hAnsi="Times New Roman" w:cs="Times New Roman"/>
          <w:color w:val="231F20"/>
          <w:sz w:val="24"/>
          <w:szCs w:val="24"/>
        </w:rPr>
        <w:t xml:space="preserve">3.5. Особое внимание Палатой </w:t>
      </w:r>
      <w:r>
        <w:rPr>
          <w:rFonts w:ascii="Times New Roman" w:hAnsi="Times New Roman" w:cs="Times New Roman"/>
          <w:color w:val="231F20"/>
          <w:sz w:val="24"/>
          <w:szCs w:val="24"/>
        </w:rPr>
        <w:t>уделяется</w:t>
      </w:r>
      <w:r w:rsidRPr="001F061E">
        <w:rPr>
          <w:rFonts w:ascii="Times New Roman" w:hAnsi="Times New Roman" w:cs="Times New Roman"/>
          <w:color w:val="231F20"/>
          <w:sz w:val="24"/>
          <w:szCs w:val="24"/>
        </w:rPr>
        <w:t xml:space="preserve"> мониторингу</w:t>
      </w:r>
      <w:r w:rsidRPr="00C777D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достижения национальных целей развития, определенных</w:t>
      </w:r>
      <w:r w:rsidRPr="001F061E">
        <w:rPr>
          <w:rFonts w:ascii="Times New Roman" w:hAnsi="Times New Roman" w:cs="Times New Roman"/>
          <w:color w:val="231F20"/>
          <w:sz w:val="24"/>
          <w:szCs w:val="24"/>
        </w:rPr>
        <w:t xml:space="preserve"> Указ</w:t>
      </w:r>
      <w:r>
        <w:rPr>
          <w:rFonts w:ascii="Times New Roman" w:hAnsi="Times New Roman" w:cs="Times New Roman"/>
          <w:color w:val="231F20"/>
          <w:sz w:val="24"/>
          <w:szCs w:val="24"/>
        </w:rPr>
        <w:t>ом</w:t>
      </w:r>
      <w:r w:rsidRPr="001F061E">
        <w:rPr>
          <w:rFonts w:ascii="Times New Roman" w:hAnsi="Times New Roman" w:cs="Times New Roman"/>
          <w:color w:val="231F20"/>
          <w:sz w:val="24"/>
          <w:szCs w:val="24"/>
        </w:rPr>
        <w:t xml:space="preserve"> Президента Российской Федерации </w:t>
      </w:r>
      <w:r w:rsidRPr="009903CF">
        <w:rPr>
          <w:rFonts w:ascii="Times New Roman" w:hAnsi="Times New Roman" w:cs="Times New Roman"/>
          <w:color w:val="231F20"/>
          <w:sz w:val="24"/>
          <w:szCs w:val="24"/>
        </w:rPr>
        <w:t>от 07.05.</w:t>
      </w:r>
      <w:r>
        <w:rPr>
          <w:rFonts w:ascii="Times New Roman" w:hAnsi="Times New Roman" w:cs="Times New Roman"/>
          <w:color w:val="231F20"/>
          <w:sz w:val="24"/>
          <w:szCs w:val="24"/>
        </w:rPr>
        <w:t>2025</w:t>
      </w:r>
      <w:r w:rsidRPr="009903C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№ </w:t>
      </w:r>
      <w:r w:rsidRPr="009903CF">
        <w:rPr>
          <w:rFonts w:ascii="Times New Roman" w:hAnsi="Times New Roman" w:cs="Times New Roman"/>
          <w:color w:val="231F20"/>
          <w:sz w:val="24"/>
          <w:szCs w:val="24"/>
        </w:rPr>
        <w:t>309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«</w:t>
      </w:r>
      <w:r w:rsidRPr="009903CF">
        <w:rPr>
          <w:rFonts w:ascii="Times New Roman" w:hAnsi="Times New Roman" w:cs="Times New Roman"/>
          <w:color w:val="231F20"/>
          <w:sz w:val="24"/>
          <w:szCs w:val="24"/>
        </w:rPr>
        <w:t>О национальных целях развития Российской Федерации на период до 2030 года и на перспективу до 2036 года</w:t>
      </w:r>
      <w:r>
        <w:rPr>
          <w:rFonts w:ascii="Times New Roman" w:hAnsi="Times New Roman" w:cs="Times New Roman"/>
          <w:color w:val="231F20"/>
          <w:sz w:val="24"/>
          <w:szCs w:val="24"/>
        </w:rPr>
        <w:t>»</w:t>
      </w:r>
      <w:r w:rsidRPr="001F061E">
        <w:rPr>
          <w:rFonts w:ascii="Times New Roman" w:hAnsi="Times New Roman" w:cs="Times New Roman"/>
          <w:color w:val="231F20"/>
          <w:sz w:val="24"/>
          <w:szCs w:val="24"/>
        </w:rPr>
        <w:t xml:space="preserve"> на территории города Обнинска.</w:t>
      </w:r>
    </w:p>
    <w:p w14:paraId="1035AB7B" w14:textId="77777777" w:rsidR="00562B56" w:rsidRPr="006451E0" w:rsidRDefault="00562B56" w:rsidP="00562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005191" w14:textId="77777777" w:rsidR="00562B56" w:rsidRPr="000547F3" w:rsidRDefault="00562B56" w:rsidP="00562B56">
      <w:pPr>
        <w:pStyle w:val="11"/>
        <w:ind w:firstLine="425"/>
      </w:pPr>
      <w:r w:rsidRPr="000547F3">
        <w:rPr>
          <w:rFonts w:ascii="Times New Roman" w:hAnsi="Times New Roman" w:cs="Times New Roman"/>
          <w:color w:val="auto"/>
          <w:sz w:val="24"/>
          <w:szCs w:val="24"/>
        </w:rPr>
        <w:t xml:space="preserve">В ходе мониторинга национальных проектов (далее – НП) Палатой было </w:t>
      </w:r>
      <w:r w:rsidRPr="001450CC">
        <w:rPr>
          <w:rFonts w:ascii="Times New Roman" w:hAnsi="Times New Roman" w:cs="Times New Roman"/>
          <w:color w:val="auto"/>
          <w:sz w:val="24"/>
          <w:szCs w:val="24"/>
        </w:rPr>
        <w:t xml:space="preserve">отмечено, </w:t>
      </w:r>
      <w:r w:rsidRPr="000547F3">
        <w:rPr>
          <w:rFonts w:ascii="Times New Roman" w:hAnsi="Times New Roman" w:cs="Times New Roman"/>
          <w:color w:val="auto"/>
          <w:sz w:val="24"/>
          <w:szCs w:val="24"/>
        </w:rPr>
        <w:t>что в соответствии с Решением о бюджете на 2025 год были предусмотрены бюджетные ассигнования на реализацию 3 НП в рамках исполнения 5 муниципальных программ.</w:t>
      </w:r>
      <w:r w:rsidRPr="000547F3">
        <w:t xml:space="preserve"> </w:t>
      </w:r>
    </w:p>
    <w:p w14:paraId="0546173F" w14:textId="77777777" w:rsidR="00562B56" w:rsidRDefault="00562B56" w:rsidP="00562B56">
      <w:pPr>
        <w:pStyle w:val="11"/>
        <w:ind w:firstLine="425"/>
        <w:rPr>
          <w:rFonts w:ascii="Times New Roman" w:hAnsi="Times New Roman" w:cs="Times New Roman"/>
          <w:color w:val="231F20"/>
        </w:rPr>
      </w:pPr>
      <w:r w:rsidRPr="000547F3">
        <w:rPr>
          <w:rFonts w:ascii="Times New Roman" w:hAnsi="Times New Roman" w:cs="Times New Roman"/>
          <w:color w:val="auto"/>
          <w:sz w:val="24"/>
          <w:szCs w:val="24"/>
        </w:rPr>
        <w:t>Расходы на реализацию НП в 2025 году составили 659 100,7 тыс. рублей, что на 182 857,9 тыс. рублей, или на 38,4% больше расходов на реализацию НП в 2024 году.</w:t>
      </w:r>
    </w:p>
    <w:tbl>
      <w:tblPr>
        <w:tblStyle w:val="ac"/>
        <w:tblpPr w:leftFromText="180" w:rightFromText="180" w:vertAnchor="text" w:horzAnchor="margin" w:tblpX="925" w:tblpY="142"/>
        <w:tblW w:w="0" w:type="auto"/>
        <w:tblBorders>
          <w:top w:val="single" w:sz="12" w:space="0" w:color="007434"/>
          <w:left w:val="single" w:sz="12" w:space="0" w:color="007434"/>
          <w:bottom w:val="single" w:sz="12" w:space="0" w:color="007434"/>
          <w:right w:val="single" w:sz="12" w:space="0" w:color="007434"/>
          <w:insideH w:val="single" w:sz="12" w:space="0" w:color="007434"/>
          <w:insideV w:val="single" w:sz="12" w:space="0" w:color="007434"/>
        </w:tblBorders>
        <w:tblLook w:val="0620" w:firstRow="1" w:lastRow="0" w:firstColumn="0" w:lastColumn="0" w:noHBand="1" w:noVBand="1"/>
      </w:tblPr>
      <w:tblGrid>
        <w:gridCol w:w="4077"/>
        <w:gridCol w:w="3861"/>
      </w:tblGrid>
      <w:tr w:rsidR="00562B56" w:rsidRPr="00914BDC" w14:paraId="3C3FA7DF" w14:textId="77777777" w:rsidTr="00CE4A2C">
        <w:trPr>
          <w:trHeight w:val="256"/>
          <w:tblHeader/>
        </w:trPr>
        <w:tc>
          <w:tcPr>
            <w:tcW w:w="4077" w:type="dxa"/>
            <w:vAlign w:val="center"/>
          </w:tcPr>
          <w:p w14:paraId="6CF69131" w14:textId="77777777" w:rsidR="00562B56" w:rsidRPr="00914BDC" w:rsidRDefault="00562B56" w:rsidP="00C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BDC">
              <w:rPr>
                <w:rFonts w:ascii="Times New Roman" w:hAnsi="Times New Roman" w:cs="Times New Roman"/>
                <w:sz w:val="20"/>
                <w:szCs w:val="20"/>
              </w:rPr>
              <w:t>Наименование НП</w:t>
            </w:r>
          </w:p>
        </w:tc>
        <w:tc>
          <w:tcPr>
            <w:tcW w:w="3861" w:type="dxa"/>
            <w:vAlign w:val="center"/>
          </w:tcPr>
          <w:p w14:paraId="4A2D05AD" w14:textId="77777777" w:rsidR="00562B56" w:rsidRPr="00914BDC" w:rsidRDefault="00562B56" w:rsidP="00C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BDC">
              <w:rPr>
                <w:rFonts w:ascii="Times New Roman" w:hAnsi="Times New Roman" w:cs="Times New Roman"/>
                <w:sz w:val="20"/>
                <w:szCs w:val="20"/>
              </w:rPr>
              <w:t>Расходы на реализацию НП, тыс. рублей</w:t>
            </w:r>
          </w:p>
        </w:tc>
      </w:tr>
      <w:tr w:rsidR="00562B56" w:rsidRPr="001765A4" w14:paraId="3E78EE72" w14:textId="77777777" w:rsidTr="00CE4A2C">
        <w:trPr>
          <w:trHeight w:val="311"/>
        </w:trPr>
        <w:tc>
          <w:tcPr>
            <w:tcW w:w="7938" w:type="dxa"/>
            <w:gridSpan w:val="2"/>
            <w:vAlign w:val="center"/>
          </w:tcPr>
          <w:p w14:paraId="7117F0AC" w14:textId="77777777" w:rsidR="00562B56" w:rsidRPr="001765A4" w:rsidRDefault="00562B56" w:rsidP="00CE4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5A4">
              <w:rPr>
                <w:rFonts w:ascii="Times New Roman" w:hAnsi="Times New Roman" w:cs="Times New Roman"/>
                <w:sz w:val="18"/>
                <w:szCs w:val="18"/>
              </w:rPr>
              <w:t>В 2024 году были реализованы следующие НП:</w:t>
            </w:r>
          </w:p>
        </w:tc>
      </w:tr>
      <w:tr w:rsidR="00562B56" w:rsidRPr="00914BDC" w14:paraId="25CF80A0" w14:textId="77777777" w:rsidTr="00CE4A2C">
        <w:tc>
          <w:tcPr>
            <w:tcW w:w="4077" w:type="dxa"/>
          </w:tcPr>
          <w:p w14:paraId="40605DE9" w14:textId="77777777" w:rsidR="00562B56" w:rsidRPr="001765A4" w:rsidRDefault="00562B56" w:rsidP="00CE4A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65A4">
              <w:rPr>
                <w:rFonts w:ascii="Times New Roman" w:hAnsi="Times New Roman" w:cs="Times New Roman"/>
                <w:sz w:val="18"/>
                <w:szCs w:val="18"/>
              </w:rPr>
              <w:t>НП «Безопасные качественные дороги»</w:t>
            </w:r>
          </w:p>
        </w:tc>
        <w:tc>
          <w:tcPr>
            <w:tcW w:w="3861" w:type="dxa"/>
          </w:tcPr>
          <w:p w14:paraId="4BFF8CF5" w14:textId="77777777" w:rsidR="00562B56" w:rsidRPr="001765A4" w:rsidRDefault="00562B56" w:rsidP="00CE4A2C">
            <w:pPr>
              <w:tabs>
                <w:tab w:val="left" w:pos="3577"/>
              </w:tabs>
              <w:ind w:right="35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5A4">
              <w:rPr>
                <w:rFonts w:ascii="Times New Roman" w:hAnsi="Times New Roman" w:cs="Times New Roman"/>
                <w:sz w:val="18"/>
                <w:szCs w:val="18"/>
              </w:rPr>
              <w:t>52 631,6</w:t>
            </w:r>
          </w:p>
        </w:tc>
      </w:tr>
      <w:tr w:rsidR="00562B56" w:rsidRPr="00914BDC" w14:paraId="5CFDD159" w14:textId="77777777" w:rsidTr="00CE4A2C">
        <w:tc>
          <w:tcPr>
            <w:tcW w:w="4077" w:type="dxa"/>
          </w:tcPr>
          <w:p w14:paraId="24864A00" w14:textId="77777777" w:rsidR="00562B56" w:rsidRPr="001765A4" w:rsidRDefault="00562B56" w:rsidP="00CE4A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65A4">
              <w:rPr>
                <w:rFonts w:ascii="Times New Roman" w:hAnsi="Times New Roman" w:cs="Times New Roman"/>
                <w:sz w:val="18"/>
                <w:szCs w:val="18"/>
              </w:rPr>
              <w:t>НП «Жилье и городская среда»</w:t>
            </w:r>
          </w:p>
        </w:tc>
        <w:tc>
          <w:tcPr>
            <w:tcW w:w="3861" w:type="dxa"/>
          </w:tcPr>
          <w:p w14:paraId="4ED1AD9A" w14:textId="77777777" w:rsidR="00562B56" w:rsidRPr="001765A4" w:rsidRDefault="00562B56" w:rsidP="00CE4A2C">
            <w:pPr>
              <w:tabs>
                <w:tab w:val="left" w:pos="3577"/>
              </w:tabs>
              <w:ind w:right="35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5A4">
              <w:rPr>
                <w:rFonts w:ascii="Times New Roman" w:hAnsi="Times New Roman" w:cs="Times New Roman"/>
                <w:sz w:val="18"/>
                <w:szCs w:val="18"/>
              </w:rPr>
              <w:t>268 670,8</w:t>
            </w:r>
          </w:p>
        </w:tc>
      </w:tr>
      <w:tr w:rsidR="00562B56" w:rsidRPr="00914BDC" w14:paraId="7F22521D" w14:textId="77777777" w:rsidTr="00CE4A2C">
        <w:tc>
          <w:tcPr>
            <w:tcW w:w="4077" w:type="dxa"/>
          </w:tcPr>
          <w:p w14:paraId="10552C76" w14:textId="77777777" w:rsidR="00562B56" w:rsidRPr="001765A4" w:rsidRDefault="00562B56" w:rsidP="00CE4A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65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НП «Образование»</w:t>
            </w:r>
          </w:p>
        </w:tc>
        <w:tc>
          <w:tcPr>
            <w:tcW w:w="3861" w:type="dxa"/>
          </w:tcPr>
          <w:p w14:paraId="2E975846" w14:textId="77777777" w:rsidR="00562B56" w:rsidRPr="001765A4" w:rsidRDefault="00562B56" w:rsidP="00CE4A2C">
            <w:pPr>
              <w:tabs>
                <w:tab w:val="left" w:pos="3577"/>
              </w:tabs>
              <w:ind w:right="35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5A4">
              <w:rPr>
                <w:rFonts w:ascii="Times New Roman" w:hAnsi="Times New Roman" w:cs="Times New Roman"/>
                <w:sz w:val="18"/>
                <w:szCs w:val="18"/>
              </w:rPr>
              <w:t>8 410,8</w:t>
            </w:r>
          </w:p>
        </w:tc>
      </w:tr>
      <w:tr w:rsidR="00562B56" w:rsidRPr="00914BDC" w14:paraId="2EF997A7" w14:textId="77777777" w:rsidTr="00CE4A2C">
        <w:tc>
          <w:tcPr>
            <w:tcW w:w="4077" w:type="dxa"/>
          </w:tcPr>
          <w:p w14:paraId="62B516D2" w14:textId="77777777" w:rsidR="00562B56" w:rsidRPr="001765A4" w:rsidRDefault="00562B56" w:rsidP="00CE4A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65A4">
              <w:rPr>
                <w:rFonts w:ascii="Times New Roman" w:hAnsi="Times New Roman" w:cs="Times New Roman"/>
                <w:sz w:val="18"/>
                <w:szCs w:val="18"/>
              </w:rPr>
              <w:t>НП «Демография»</w:t>
            </w:r>
          </w:p>
        </w:tc>
        <w:tc>
          <w:tcPr>
            <w:tcW w:w="3861" w:type="dxa"/>
          </w:tcPr>
          <w:p w14:paraId="583972E5" w14:textId="77777777" w:rsidR="00562B56" w:rsidRPr="001765A4" w:rsidRDefault="00562B56" w:rsidP="00CE4A2C">
            <w:pPr>
              <w:tabs>
                <w:tab w:val="left" w:pos="3577"/>
              </w:tabs>
              <w:ind w:right="35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5A4">
              <w:rPr>
                <w:rFonts w:ascii="Times New Roman" w:hAnsi="Times New Roman" w:cs="Times New Roman"/>
                <w:sz w:val="18"/>
                <w:szCs w:val="18"/>
              </w:rPr>
              <w:t>146 529,6</w:t>
            </w:r>
          </w:p>
        </w:tc>
      </w:tr>
      <w:tr w:rsidR="00562B56" w:rsidRPr="00914BDC" w14:paraId="66825BDA" w14:textId="77777777" w:rsidTr="00CE4A2C">
        <w:tc>
          <w:tcPr>
            <w:tcW w:w="4077" w:type="dxa"/>
          </w:tcPr>
          <w:p w14:paraId="383BC10D" w14:textId="77777777" w:rsidR="00562B56" w:rsidRPr="001765A4" w:rsidRDefault="00562B56" w:rsidP="00CE4A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65A4">
              <w:rPr>
                <w:rFonts w:ascii="Times New Roman" w:hAnsi="Times New Roman" w:cs="Times New Roman"/>
                <w:sz w:val="18"/>
                <w:szCs w:val="18"/>
              </w:rPr>
              <w:t>Итого в 2024 году:</w:t>
            </w:r>
          </w:p>
        </w:tc>
        <w:tc>
          <w:tcPr>
            <w:tcW w:w="3861" w:type="dxa"/>
          </w:tcPr>
          <w:p w14:paraId="6769F254" w14:textId="77777777" w:rsidR="00562B56" w:rsidRPr="001765A4" w:rsidRDefault="00562B56" w:rsidP="00CE4A2C">
            <w:pPr>
              <w:tabs>
                <w:tab w:val="left" w:pos="3577"/>
              </w:tabs>
              <w:ind w:right="351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65A4">
              <w:rPr>
                <w:rFonts w:ascii="Times New Roman" w:hAnsi="Times New Roman" w:cs="Times New Roman"/>
                <w:b/>
                <w:sz w:val="18"/>
                <w:szCs w:val="18"/>
              </w:rPr>
              <w:t>476 242,8</w:t>
            </w:r>
          </w:p>
        </w:tc>
      </w:tr>
      <w:tr w:rsidR="00562B56" w:rsidRPr="00914BDC" w14:paraId="5D47F323" w14:textId="77777777" w:rsidTr="00CE4A2C">
        <w:tc>
          <w:tcPr>
            <w:tcW w:w="7938" w:type="dxa"/>
            <w:gridSpan w:val="2"/>
          </w:tcPr>
          <w:p w14:paraId="320AA425" w14:textId="77777777" w:rsidR="00562B56" w:rsidRPr="001765A4" w:rsidRDefault="00562B56" w:rsidP="00CE4A2C">
            <w:pPr>
              <w:tabs>
                <w:tab w:val="left" w:pos="325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5A4">
              <w:rPr>
                <w:rFonts w:ascii="Times New Roman" w:hAnsi="Times New Roman" w:cs="Times New Roman"/>
                <w:sz w:val="18"/>
                <w:szCs w:val="18"/>
              </w:rPr>
              <w:t>В 2025 году были реализованы следующие НП:</w:t>
            </w:r>
          </w:p>
        </w:tc>
      </w:tr>
      <w:tr w:rsidR="00562B56" w:rsidRPr="001765A4" w14:paraId="2B3BA962" w14:textId="77777777" w:rsidTr="00CE4A2C">
        <w:tc>
          <w:tcPr>
            <w:tcW w:w="4077" w:type="dxa"/>
          </w:tcPr>
          <w:p w14:paraId="2C475B6F" w14:textId="77777777" w:rsidR="00562B56" w:rsidRPr="001765A4" w:rsidRDefault="00562B56" w:rsidP="00CE4A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65A4">
              <w:rPr>
                <w:rFonts w:ascii="Times New Roman" w:hAnsi="Times New Roman" w:cs="Times New Roman"/>
                <w:sz w:val="18"/>
                <w:szCs w:val="18"/>
              </w:rPr>
              <w:t>НП «Молодежь и дети»</w:t>
            </w:r>
          </w:p>
        </w:tc>
        <w:tc>
          <w:tcPr>
            <w:tcW w:w="3861" w:type="dxa"/>
          </w:tcPr>
          <w:p w14:paraId="488B835F" w14:textId="77777777" w:rsidR="00562B56" w:rsidRPr="001765A4" w:rsidRDefault="00562B56" w:rsidP="00CE4A2C">
            <w:pPr>
              <w:ind w:right="35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5A4">
              <w:rPr>
                <w:rFonts w:ascii="Times New Roman" w:hAnsi="Times New Roman" w:cs="Times New Roman"/>
                <w:sz w:val="18"/>
                <w:szCs w:val="18"/>
              </w:rPr>
              <w:t>356 690,1</w:t>
            </w:r>
          </w:p>
        </w:tc>
      </w:tr>
      <w:tr w:rsidR="00562B56" w:rsidRPr="001765A4" w14:paraId="3827539D" w14:textId="77777777" w:rsidTr="00CE4A2C">
        <w:tc>
          <w:tcPr>
            <w:tcW w:w="4077" w:type="dxa"/>
          </w:tcPr>
          <w:p w14:paraId="2ADDCE39" w14:textId="77777777" w:rsidR="00562B56" w:rsidRPr="001765A4" w:rsidRDefault="00562B56" w:rsidP="00CE4A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65A4">
              <w:rPr>
                <w:rFonts w:ascii="Times New Roman" w:hAnsi="Times New Roman" w:cs="Times New Roman"/>
                <w:sz w:val="18"/>
                <w:szCs w:val="18"/>
              </w:rPr>
              <w:t>НИ «Инфраструктура для жизни»</w:t>
            </w:r>
          </w:p>
        </w:tc>
        <w:tc>
          <w:tcPr>
            <w:tcW w:w="3861" w:type="dxa"/>
          </w:tcPr>
          <w:p w14:paraId="1A3D2E56" w14:textId="77777777" w:rsidR="00562B56" w:rsidRPr="001765A4" w:rsidRDefault="00562B56" w:rsidP="00CE4A2C">
            <w:pPr>
              <w:ind w:right="35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5A4">
              <w:rPr>
                <w:rFonts w:ascii="Times New Roman" w:hAnsi="Times New Roman" w:cs="Times New Roman"/>
                <w:sz w:val="18"/>
                <w:szCs w:val="18"/>
              </w:rPr>
              <w:t>152 904,7</w:t>
            </w:r>
          </w:p>
        </w:tc>
      </w:tr>
      <w:tr w:rsidR="00562B56" w:rsidRPr="001765A4" w14:paraId="2DF64DDA" w14:textId="77777777" w:rsidTr="00CE4A2C">
        <w:tc>
          <w:tcPr>
            <w:tcW w:w="4077" w:type="dxa"/>
          </w:tcPr>
          <w:p w14:paraId="57BF749E" w14:textId="77777777" w:rsidR="00562B56" w:rsidRPr="001765A4" w:rsidRDefault="00562B56" w:rsidP="00CE4A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65A4">
              <w:rPr>
                <w:rFonts w:ascii="Times New Roman" w:hAnsi="Times New Roman" w:cs="Times New Roman"/>
                <w:sz w:val="18"/>
                <w:szCs w:val="18"/>
              </w:rPr>
              <w:t>НП «Семья»</w:t>
            </w:r>
          </w:p>
        </w:tc>
        <w:tc>
          <w:tcPr>
            <w:tcW w:w="3861" w:type="dxa"/>
          </w:tcPr>
          <w:p w14:paraId="66E9AF48" w14:textId="77777777" w:rsidR="00562B56" w:rsidRPr="001765A4" w:rsidRDefault="00562B56" w:rsidP="00CE4A2C">
            <w:pPr>
              <w:ind w:right="35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5A4">
              <w:rPr>
                <w:rFonts w:ascii="Times New Roman" w:hAnsi="Times New Roman" w:cs="Times New Roman"/>
                <w:sz w:val="18"/>
                <w:szCs w:val="18"/>
              </w:rPr>
              <w:t>149 505,9</w:t>
            </w:r>
          </w:p>
        </w:tc>
      </w:tr>
      <w:tr w:rsidR="00562B56" w:rsidRPr="001765A4" w14:paraId="4D0C146D" w14:textId="77777777" w:rsidTr="00CE4A2C">
        <w:trPr>
          <w:trHeight w:val="261"/>
        </w:trPr>
        <w:tc>
          <w:tcPr>
            <w:tcW w:w="4077" w:type="dxa"/>
            <w:vAlign w:val="center"/>
          </w:tcPr>
          <w:p w14:paraId="5D155EDD" w14:textId="77777777" w:rsidR="00562B56" w:rsidRPr="001765A4" w:rsidRDefault="00562B56" w:rsidP="00CE4A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65A4">
              <w:rPr>
                <w:rFonts w:ascii="Times New Roman" w:hAnsi="Times New Roman" w:cs="Times New Roman"/>
                <w:sz w:val="18"/>
                <w:szCs w:val="18"/>
              </w:rPr>
              <w:t>Итого в 2025 году:</w:t>
            </w:r>
          </w:p>
        </w:tc>
        <w:tc>
          <w:tcPr>
            <w:tcW w:w="3861" w:type="dxa"/>
            <w:vAlign w:val="center"/>
          </w:tcPr>
          <w:p w14:paraId="17E526BE" w14:textId="77777777" w:rsidR="00562B56" w:rsidRPr="001765A4" w:rsidRDefault="00562B56" w:rsidP="00CE4A2C">
            <w:pPr>
              <w:ind w:right="351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65A4">
              <w:rPr>
                <w:rFonts w:ascii="Times New Roman" w:hAnsi="Times New Roman" w:cs="Times New Roman"/>
                <w:b/>
                <w:sz w:val="18"/>
                <w:szCs w:val="18"/>
              </w:rPr>
              <w:t>659 100,7</w:t>
            </w:r>
          </w:p>
        </w:tc>
      </w:tr>
    </w:tbl>
    <w:p w14:paraId="6378656C" w14:textId="77777777" w:rsidR="00562B56" w:rsidRPr="001765A4" w:rsidRDefault="00562B56" w:rsidP="00562B56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18"/>
          <w:szCs w:val="18"/>
        </w:rPr>
      </w:pPr>
    </w:p>
    <w:p w14:paraId="1CD7D98C" w14:textId="77777777" w:rsidR="00562B56" w:rsidRDefault="00562B56" w:rsidP="00562B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1FC18642" w14:textId="77777777" w:rsidR="00562B56" w:rsidRPr="0065343F" w:rsidRDefault="00562B56" w:rsidP="00562B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5343F">
        <w:rPr>
          <w:rFonts w:ascii="Times New Roman" w:hAnsi="Times New Roman" w:cs="Times New Roman"/>
          <w:color w:val="231F20"/>
          <w:sz w:val="24"/>
          <w:szCs w:val="24"/>
        </w:rPr>
        <w:t>В 202</w:t>
      </w:r>
      <w:r>
        <w:rPr>
          <w:rFonts w:ascii="Times New Roman" w:hAnsi="Times New Roman" w:cs="Times New Roman"/>
          <w:color w:val="231F20"/>
          <w:sz w:val="24"/>
          <w:szCs w:val="24"/>
        </w:rPr>
        <w:t>6</w:t>
      </w:r>
      <w:r w:rsidRPr="0065343F">
        <w:rPr>
          <w:rFonts w:ascii="Times New Roman" w:hAnsi="Times New Roman" w:cs="Times New Roman"/>
          <w:color w:val="231F20"/>
          <w:sz w:val="24"/>
          <w:szCs w:val="24"/>
        </w:rPr>
        <w:t xml:space="preserve"> году в соответствии с планом работы КСП продолжит работу по проведению системного мониторинга национальных проектов, результаты которого будут ежеквартально представляться в Собрание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города Обнинска </w:t>
      </w:r>
      <w:r w:rsidRPr="0065343F">
        <w:rPr>
          <w:rFonts w:ascii="Times New Roman" w:hAnsi="Times New Roman" w:cs="Times New Roman"/>
          <w:color w:val="231F20"/>
          <w:sz w:val="24"/>
          <w:szCs w:val="24"/>
        </w:rPr>
        <w:t>и Администрацию города Обнинска.</w:t>
      </w:r>
    </w:p>
    <w:p w14:paraId="5E4866DE" w14:textId="77777777" w:rsidR="00562B56" w:rsidRPr="0065343F" w:rsidRDefault="00562B56" w:rsidP="00562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9F4B23" w14:textId="77777777" w:rsidR="00562B56" w:rsidRPr="008729F8" w:rsidRDefault="00562B56" w:rsidP="00562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9F8">
        <w:rPr>
          <w:rFonts w:ascii="Times New Roman" w:hAnsi="Times New Roman" w:cs="Times New Roman"/>
          <w:sz w:val="24"/>
          <w:szCs w:val="24"/>
        </w:rPr>
        <w:t>3.6. В отчетном периоде КСП проведена оценка эффективности предоставления в 2024 году налоговых льгот и иных льгот и преимуществ за счет средств местного бюджета и имущества, находящегося в муниципальной собственности.</w:t>
      </w:r>
    </w:p>
    <w:p w14:paraId="6C12342F" w14:textId="77777777" w:rsidR="00562B56" w:rsidRPr="0065343F" w:rsidRDefault="00562B56" w:rsidP="00562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68F14E" w14:textId="77777777" w:rsidR="00562B56" w:rsidRPr="006451E0" w:rsidRDefault="00562B56" w:rsidP="00562B56">
      <w:pPr>
        <w:pStyle w:val="11"/>
        <w:ind w:firstLine="425"/>
        <w:rPr>
          <w:rFonts w:ascii="Times New Roman" w:hAnsi="Times New Roman" w:cs="Times New Roman"/>
          <w:color w:val="auto"/>
          <w:sz w:val="24"/>
          <w:szCs w:val="24"/>
        </w:rPr>
      </w:pPr>
      <w:r w:rsidRPr="00D97EC0">
        <w:rPr>
          <w:rFonts w:ascii="Times New Roman" w:hAnsi="Times New Roman" w:cs="Times New Roman"/>
          <w:color w:val="auto"/>
          <w:sz w:val="24"/>
          <w:szCs w:val="24"/>
        </w:rPr>
        <w:t>В результате применения льгот, установленных федеральным законодательством и решениями Обнинского городского Собрания, объем выпадающих налоговых доходов из бюджета города Обнинска в 202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D97EC0">
        <w:rPr>
          <w:rFonts w:ascii="Times New Roman" w:hAnsi="Times New Roman" w:cs="Times New Roman"/>
          <w:color w:val="auto"/>
          <w:sz w:val="24"/>
          <w:szCs w:val="24"/>
        </w:rPr>
        <w:t xml:space="preserve"> году составил </w:t>
      </w:r>
      <w:r>
        <w:rPr>
          <w:rFonts w:ascii="Times New Roman" w:hAnsi="Times New Roman" w:cs="Times New Roman"/>
          <w:color w:val="auto"/>
          <w:sz w:val="24"/>
          <w:szCs w:val="24"/>
        </w:rPr>
        <w:t>84 921</w:t>
      </w:r>
      <w:r w:rsidRPr="00D97EC0">
        <w:rPr>
          <w:rFonts w:ascii="Times New Roman" w:hAnsi="Times New Roman" w:cs="Times New Roman"/>
          <w:color w:val="auto"/>
          <w:sz w:val="24"/>
          <w:szCs w:val="24"/>
        </w:rPr>
        <w:t xml:space="preserve"> тыс. </w:t>
      </w:r>
      <w:r>
        <w:rPr>
          <w:rFonts w:ascii="Times New Roman" w:hAnsi="Times New Roman" w:cs="Times New Roman"/>
          <w:color w:val="auto"/>
          <w:sz w:val="24"/>
          <w:szCs w:val="24"/>
        </w:rPr>
        <w:t>рублей</w:t>
      </w:r>
      <w:r w:rsidRPr="00D97EC0">
        <w:rPr>
          <w:rFonts w:ascii="Times New Roman" w:hAnsi="Times New Roman" w:cs="Times New Roman"/>
          <w:color w:val="auto"/>
          <w:sz w:val="24"/>
          <w:szCs w:val="24"/>
        </w:rPr>
        <w:t xml:space="preserve">, в том числе в результате предоставления льгот, установленных решениями Обнинского городского Собрания – </w:t>
      </w:r>
      <w:r>
        <w:rPr>
          <w:rFonts w:ascii="Times New Roman" w:hAnsi="Times New Roman" w:cs="Times New Roman"/>
          <w:color w:val="auto"/>
          <w:sz w:val="24"/>
          <w:szCs w:val="24"/>
        </w:rPr>
        <w:t>39 251</w:t>
      </w:r>
      <w:r w:rsidRPr="00D97EC0">
        <w:rPr>
          <w:rFonts w:ascii="Times New Roman" w:hAnsi="Times New Roman" w:cs="Times New Roman"/>
          <w:color w:val="auto"/>
          <w:sz w:val="24"/>
          <w:szCs w:val="24"/>
        </w:rPr>
        <w:t xml:space="preserve"> тыс. </w:t>
      </w:r>
      <w:r>
        <w:rPr>
          <w:rFonts w:ascii="Times New Roman" w:hAnsi="Times New Roman" w:cs="Times New Roman"/>
          <w:color w:val="auto"/>
          <w:sz w:val="24"/>
          <w:szCs w:val="24"/>
        </w:rPr>
        <w:t>рублей</w:t>
      </w:r>
      <w:r w:rsidRPr="00D97EC0">
        <w:rPr>
          <w:rFonts w:ascii="Times New Roman" w:hAnsi="Times New Roman" w:cs="Times New Roman"/>
          <w:color w:val="auto"/>
          <w:sz w:val="24"/>
          <w:szCs w:val="24"/>
        </w:rPr>
        <w:t xml:space="preserve">, или </w:t>
      </w:r>
      <w:r>
        <w:rPr>
          <w:rFonts w:ascii="Times New Roman" w:hAnsi="Times New Roman" w:cs="Times New Roman"/>
          <w:color w:val="auto"/>
          <w:sz w:val="24"/>
          <w:szCs w:val="24"/>
        </w:rPr>
        <w:t>46,2</w:t>
      </w:r>
      <w:r w:rsidRPr="00D97EC0">
        <w:rPr>
          <w:rFonts w:ascii="Times New Roman" w:hAnsi="Times New Roman" w:cs="Times New Roman"/>
          <w:color w:val="auto"/>
          <w:sz w:val="24"/>
          <w:szCs w:val="24"/>
        </w:rPr>
        <w:t xml:space="preserve">%, из них наибольшая сумма – </w:t>
      </w:r>
      <w:r>
        <w:rPr>
          <w:rFonts w:ascii="Times New Roman" w:hAnsi="Times New Roman" w:cs="Times New Roman"/>
          <w:color w:val="auto"/>
          <w:sz w:val="24"/>
          <w:szCs w:val="24"/>
        </w:rPr>
        <w:t>38 360</w:t>
      </w:r>
      <w:r w:rsidRPr="00D97EC0">
        <w:rPr>
          <w:rFonts w:ascii="Times New Roman" w:hAnsi="Times New Roman" w:cs="Times New Roman"/>
          <w:color w:val="auto"/>
          <w:sz w:val="24"/>
          <w:szCs w:val="24"/>
        </w:rPr>
        <w:t xml:space="preserve"> тыс. </w:t>
      </w:r>
      <w:r>
        <w:rPr>
          <w:rFonts w:ascii="Times New Roman" w:hAnsi="Times New Roman" w:cs="Times New Roman"/>
          <w:color w:val="auto"/>
          <w:sz w:val="24"/>
          <w:szCs w:val="24"/>
        </w:rPr>
        <w:t>рублей</w:t>
      </w:r>
      <w:r w:rsidRPr="00D97EC0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>97,7</w:t>
      </w:r>
      <w:r w:rsidRPr="00D97EC0">
        <w:rPr>
          <w:rFonts w:ascii="Times New Roman" w:hAnsi="Times New Roman" w:cs="Times New Roman"/>
          <w:color w:val="auto"/>
          <w:sz w:val="24"/>
          <w:szCs w:val="24"/>
        </w:rPr>
        <w:t>%) выпадающие доходы в результате освобождения государственных и муниципальных органов и учреждений от уплаты земельного налога.</w:t>
      </w:r>
    </w:p>
    <w:p w14:paraId="01FDE521" w14:textId="77777777" w:rsidR="00562B56" w:rsidRPr="006451E0" w:rsidRDefault="00562B56" w:rsidP="00562B56">
      <w:pPr>
        <w:pStyle w:val="11"/>
        <w:ind w:firstLine="425"/>
        <w:rPr>
          <w:rFonts w:ascii="Times New Roman" w:hAnsi="Times New Roman" w:cs="Times New Roman"/>
          <w:color w:val="auto"/>
          <w:sz w:val="24"/>
          <w:szCs w:val="24"/>
        </w:rPr>
      </w:pPr>
      <w:r w:rsidRPr="00D97EC0">
        <w:rPr>
          <w:rFonts w:ascii="Times New Roman" w:hAnsi="Times New Roman" w:cs="Times New Roman"/>
          <w:color w:val="auto"/>
          <w:sz w:val="24"/>
          <w:szCs w:val="24"/>
        </w:rPr>
        <w:t>В 202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D97EC0">
        <w:rPr>
          <w:rFonts w:ascii="Times New Roman" w:hAnsi="Times New Roman" w:cs="Times New Roman"/>
          <w:color w:val="auto"/>
          <w:sz w:val="24"/>
          <w:szCs w:val="24"/>
        </w:rPr>
        <w:t xml:space="preserve"> году, по сравнению с 202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D97EC0">
        <w:rPr>
          <w:rFonts w:ascii="Times New Roman" w:hAnsi="Times New Roman" w:cs="Times New Roman"/>
          <w:color w:val="auto"/>
          <w:sz w:val="24"/>
          <w:szCs w:val="24"/>
        </w:rPr>
        <w:t xml:space="preserve"> годом, объем выпадающих налоговых доходов бюджета города Обнинска от предоставления льгот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увеличился </w:t>
      </w:r>
      <w:r w:rsidRPr="00D97EC0">
        <w:rPr>
          <w:rFonts w:ascii="Times New Roman" w:hAnsi="Times New Roman" w:cs="Times New Roman"/>
          <w:color w:val="auto"/>
          <w:sz w:val="24"/>
          <w:szCs w:val="24"/>
        </w:rPr>
        <w:t xml:space="preserve">на </w:t>
      </w:r>
      <w:r>
        <w:rPr>
          <w:rFonts w:ascii="Times New Roman" w:hAnsi="Times New Roman" w:cs="Times New Roman"/>
          <w:color w:val="auto"/>
          <w:sz w:val="24"/>
          <w:szCs w:val="24"/>
        </w:rPr>
        <w:t>8 784</w:t>
      </w:r>
      <w:r w:rsidRPr="00D97EC0">
        <w:rPr>
          <w:rFonts w:ascii="Times New Roman" w:hAnsi="Times New Roman" w:cs="Times New Roman"/>
          <w:color w:val="auto"/>
          <w:sz w:val="24"/>
          <w:szCs w:val="24"/>
        </w:rPr>
        <w:t xml:space="preserve"> тыс. </w:t>
      </w:r>
      <w:r>
        <w:rPr>
          <w:rFonts w:ascii="Times New Roman" w:hAnsi="Times New Roman" w:cs="Times New Roman"/>
          <w:color w:val="auto"/>
          <w:sz w:val="24"/>
          <w:szCs w:val="24"/>
        </w:rPr>
        <w:t>рублей</w:t>
      </w:r>
      <w:r w:rsidRPr="00D97EC0">
        <w:rPr>
          <w:rFonts w:ascii="Times New Roman" w:hAnsi="Times New Roman" w:cs="Times New Roman"/>
          <w:color w:val="auto"/>
          <w:sz w:val="24"/>
          <w:szCs w:val="24"/>
        </w:rPr>
        <w:t xml:space="preserve">, или на </w:t>
      </w:r>
      <w:r>
        <w:rPr>
          <w:rFonts w:ascii="Times New Roman" w:hAnsi="Times New Roman" w:cs="Times New Roman"/>
          <w:color w:val="auto"/>
          <w:sz w:val="24"/>
          <w:szCs w:val="24"/>
        </w:rPr>
        <w:t>11,5</w:t>
      </w:r>
      <w:r w:rsidRPr="00D97EC0">
        <w:rPr>
          <w:rFonts w:ascii="Times New Roman" w:hAnsi="Times New Roman" w:cs="Times New Roman"/>
          <w:color w:val="auto"/>
          <w:sz w:val="24"/>
          <w:szCs w:val="24"/>
        </w:rPr>
        <w:t>%, в том числе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в результате увеличения выпадающих доходов </w:t>
      </w:r>
      <w:r w:rsidRPr="00D97EC0">
        <w:rPr>
          <w:rFonts w:ascii="Times New Roman" w:hAnsi="Times New Roman" w:cs="Times New Roman"/>
          <w:color w:val="auto"/>
          <w:sz w:val="24"/>
          <w:szCs w:val="24"/>
        </w:rPr>
        <w:t xml:space="preserve">от предоставления льгот на местном уровне на </w:t>
      </w:r>
      <w:r>
        <w:rPr>
          <w:rFonts w:ascii="Times New Roman" w:hAnsi="Times New Roman" w:cs="Times New Roman"/>
          <w:color w:val="auto"/>
          <w:sz w:val="24"/>
          <w:szCs w:val="24"/>
        </w:rPr>
        <w:t>3 565</w:t>
      </w:r>
      <w:r w:rsidRPr="00D97EC0">
        <w:rPr>
          <w:rFonts w:ascii="Times New Roman" w:hAnsi="Times New Roman" w:cs="Times New Roman"/>
          <w:color w:val="auto"/>
          <w:sz w:val="24"/>
          <w:szCs w:val="24"/>
        </w:rPr>
        <w:t xml:space="preserve"> тыс. </w:t>
      </w:r>
      <w:r>
        <w:rPr>
          <w:rFonts w:ascii="Times New Roman" w:hAnsi="Times New Roman" w:cs="Times New Roman"/>
          <w:color w:val="auto"/>
          <w:sz w:val="24"/>
          <w:szCs w:val="24"/>
        </w:rPr>
        <w:t>рублей</w:t>
      </w:r>
      <w:r w:rsidRPr="00D97EC0">
        <w:rPr>
          <w:rFonts w:ascii="Times New Roman" w:hAnsi="Times New Roman" w:cs="Times New Roman"/>
          <w:color w:val="auto"/>
          <w:sz w:val="24"/>
          <w:szCs w:val="24"/>
        </w:rPr>
        <w:t xml:space="preserve">, или на </w:t>
      </w:r>
      <w:r>
        <w:rPr>
          <w:rFonts w:ascii="Times New Roman" w:hAnsi="Times New Roman" w:cs="Times New Roman"/>
          <w:color w:val="auto"/>
          <w:sz w:val="24"/>
          <w:szCs w:val="24"/>
        </w:rPr>
        <w:t>10,0</w:t>
      </w:r>
      <w:r w:rsidRPr="00D97EC0">
        <w:rPr>
          <w:rFonts w:ascii="Times New Roman" w:hAnsi="Times New Roman" w:cs="Times New Roman"/>
          <w:color w:val="auto"/>
          <w:sz w:val="24"/>
          <w:szCs w:val="24"/>
        </w:rPr>
        <w:t>%.</w:t>
      </w:r>
    </w:p>
    <w:p w14:paraId="044BC16A" w14:textId="77777777" w:rsidR="00562B56" w:rsidRPr="0065343F" w:rsidRDefault="00562B56" w:rsidP="00562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47A93E" w14:textId="77777777" w:rsidR="00562B56" w:rsidRDefault="00562B56" w:rsidP="00562B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65343F">
        <w:rPr>
          <w:rFonts w:ascii="Times New Roman" w:hAnsi="Times New Roman" w:cs="Times New Roman"/>
          <w:sz w:val="24"/>
          <w:szCs w:val="24"/>
        </w:rPr>
        <w:t>ьготы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53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установленные решениями Обнинского городского Собрания</w:t>
      </w:r>
      <w:r w:rsidRPr="00113EC8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18.11.2005 № 05-02 «</w:t>
      </w:r>
      <w:r w:rsidRPr="00113EC8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Положения «О земельном налоге в городе Обнинске» </w:t>
      </w:r>
      <w:r w:rsidRPr="00113EC8">
        <w:rPr>
          <w:rFonts w:ascii="Times New Roman" w:eastAsia="Times New Roman" w:hAnsi="Times New Roman" w:cs="Times New Roman"/>
          <w:bCs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113EC8">
        <w:rPr>
          <w:rFonts w:ascii="Times New Roman" w:eastAsia="Times New Roman" w:hAnsi="Times New Roman" w:cs="Times New Roman"/>
          <w:sz w:val="24"/>
          <w:szCs w:val="24"/>
        </w:rPr>
        <w:t>от 28.11.2017 № 03-34 «Об установлении налога на имущество физических лиц»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D34A705" w14:textId="77777777" w:rsidR="00562B56" w:rsidRDefault="00562B56" w:rsidP="00562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65343F">
        <w:rPr>
          <w:rFonts w:ascii="Times New Roman" w:hAnsi="Times New Roman" w:cs="Times New Roman"/>
          <w:sz w:val="24"/>
          <w:szCs w:val="24"/>
        </w:rPr>
        <w:t xml:space="preserve">по земельному налогу </w:t>
      </w:r>
      <w:r>
        <w:rPr>
          <w:rFonts w:ascii="Times New Roman" w:eastAsia="Times New Roman" w:hAnsi="Times New Roman" w:cs="Times New Roman"/>
          <w:sz w:val="24"/>
          <w:szCs w:val="24"/>
        </w:rPr>
        <w:t>для юридических лиц</w:t>
      </w:r>
      <w:r w:rsidRPr="0065343F">
        <w:rPr>
          <w:rFonts w:ascii="Times New Roman" w:hAnsi="Times New Roman" w:cs="Times New Roman"/>
          <w:sz w:val="24"/>
          <w:szCs w:val="24"/>
        </w:rPr>
        <w:t xml:space="preserve"> явля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5343F">
        <w:rPr>
          <w:rFonts w:ascii="Times New Roman" w:hAnsi="Times New Roman" w:cs="Times New Roman"/>
          <w:sz w:val="24"/>
          <w:szCs w:val="24"/>
        </w:rPr>
        <w:t>тся востребованн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5343F">
        <w:rPr>
          <w:rFonts w:ascii="Times New Roman" w:hAnsi="Times New Roman" w:cs="Times New Roman"/>
          <w:sz w:val="24"/>
          <w:szCs w:val="24"/>
        </w:rPr>
        <w:t xml:space="preserve"> и направлен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5343F">
        <w:rPr>
          <w:rFonts w:ascii="Times New Roman" w:hAnsi="Times New Roman" w:cs="Times New Roman"/>
          <w:sz w:val="24"/>
          <w:szCs w:val="24"/>
        </w:rPr>
        <w:t xml:space="preserve"> на уменьшение встречных финансовых потоков бюджет</w:t>
      </w:r>
      <w:r>
        <w:rPr>
          <w:rFonts w:ascii="Times New Roman" w:hAnsi="Times New Roman" w:cs="Times New Roman"/>
          <w:sz w:val="24"/>
          <w:szCs w:val="24"/>
        </w:rPr>
        <w:t>ной системы;</w:t>
      </w:r>
    </w:p>
    <w:p w14:paraId="67F8773B" w14:textId="77777777" w:rsidR="00562B56" w:rsidRPr="0065343F" w:rsidRDefault="00562B56" w:rsidP="00562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65343F">
        <w:rPr>
          <w:rFonts w:ascii="Times New Roman" w:hAnsi="Times New Roman" w:cs="Times New Roman"/>
          <w:sz w:val="24"/>
          <w:szCs w:val="24"/>
        </w:rPr>
        <w:t>по земельному налогу для физических лиц и по налогу на имущество физических лиц являются мерой социальной поддержки отдельных категорий граждан.</w:t>
      </w:r>
    </w:p>
    <w:p w14:paraId="4202FB8F" w14:textId="77777777" w:rsidR="00562B56" w:rsidRPr="008729F8" w:rsidRDefault="00562B56" w:rsidP="00562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29F8">
        <w:rPr>
          <w:rFonts w:ascii="Times New Roman" w:hAnsi="Times New Roman" w:cs="Times New Roman"/>
          <w:sz w:val="24"/>
          <w:szCs w:val="24"/>
        </w:rPr>
        <w:t xml:space="preserve">По результатам оценки эффективности предоставления налоговых льгот установлено, что сохранение установленных на местном уровне льгот по земельному налогу и налогу на имущество физических лиц целесообразно. </w:t>
      </w:r>
    </w:p>
    <w:p w14:paraId="077970B9" w14:textId="77777777" w:rsidR="00562B56" w:rsidRPr="00FC293B" w:rsidRDefault="00562B56" w:rsidP="00562B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93B">
        <w:rPr>
          <w:rFonts w:ascii="Times New Roman" w:eastAsia="Calibri" w:hAnsi="Times New Roman" w:cs="Times New Roman"/>
          <w:sz w:val="24"/>
          <w:szCs w:val="24"/>
        </w:rPr>
        <w:t>В</w:t>
      </w:r>
      <w:r w:rsidRPr="007F7F8D">
        <w:rPr>
          <w:rFonts w:ascii="Times New Roman" w:eastAsia="Calibri" w:hAnsi="Times New Roman" w:cs="Times New Roman"/>
          <w:sz w:val="24"/>
          <w:szCs w:val="24"/>
        </w:rPr>
        <w:t xml:space="preserve"> 2024 году муниципальное имущество предоставлялось в безвозмездное пользование </w:t>
      </w:r>
      <w:r>
        <w:rPr>
          <w:rFonts w:ascii="Times New Roman" w:eastAsia="Calibri" w:hAnsi="Times New Roman" w:cs="Times New Roman"/>
          <w:sz w:val="24"/>
          <w:szCs w:val="24"/>
        </w:rPr>
        <w:t>в целях с</w:t>
      </w:r>
      <w:r w:rsidRPr="007F7F8D">
        <w:rPr>
          <w:rFonts w:ascii="Times New Roman" w:eastAsia="Calibri" w:hAnsi="Times New Roman" w:cs="Times New Roman"/>
          <w:sz w:val="24"/>
          <w:szCs w:val="24"/>
        </w:rPr>
        <w:t>одействи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7F7F8D">
        <w:rPr>
          <w:rFonts w:ascii="Times New Roman" w:eastAsia="Calibri" w:hAnsi="Times New Roman" w:cs="Times New Roman"/>
          <w:sz w:val="24"/>
          <w:szCs w:val="24"/>
        </w:rPr>
        <w:t xml:space="preserve"> обеспечению государственными органами и учреждениями государственных полномочий, решени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7F7F8D">
        <w:rPr>
          <w:rFonts w:ascii="Times New Roman" w:eastAsia="Calibri" w:hAnsi="Times New Roman" w:cs="Times New Roman"/>
          <w:sz w:val="24"/>
          <w:szCs w:val="24"/>
        </w:rPr>
        <w:t xml:space="preserve"> вопросов местного значения</w:t>
      </w:r>
      <w:r>
        <w:rPr>
          <w:rFonts w:ascii="Times New Roman" w:eastAsia="Calibri" w:hAnsi="Times New Roman" w:cs="Times New Roman"/>
          <w:sz w:val="24"/>
          <w:szCs w:val="24"/>
        </w:rPr>
        <w:t>, а также на</w:t>
      </w:r>
      <w:r w:rsidRPr="007F7F8D">
        <w:rPr>
          <w:rFonts w:ascii="Times New Roman" w:eastAsia="Calibri" w:hAnsi="Times New Roman" w:cs="Times New Roman"/>
          <w:sz w:val="24"/>
          <w:szCs w:val="24"/>
        </w:rPr>
        <w:t xml:space="preserve"> реализацию </w:t>
      </w:r>
      <w:r w:rsidRPr="00FC293B">
        <w:rPr>
          <w:rFonts w:ascii="Times New Roman" w:eastAsia="Calibri" w:hAnsi="Times New Roman" w:cs="Times New Roman"/>
          <w:sz w:val="24"/>
          <w:szCs w:val="24"/>
        </w:rPr>
        <w:t xml:space="preserve">мероприятий муниципальной программы </w:t>
      </w:r>
      <w:r w:rsidRPr="00FC293B">
        <w:rPr>
          <w:rFonts w:ascii="Times New Roman" w:eastAsia="Times New Roman" w:hAnsi="Times New Roman" w:cs="Times New Roman"/>
          <w:sz w:val="24"/>
          <w:szCs w:val="24"/>
        </w:rPr>
        <w:t xml:space="preserve">«Содействие развитию малого и среднего предпринимательства и инновационной деятельности в городе Обнинске».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итогам реализации муниципальной программы </w:t>
      </w:r>
      <w:r w:rsidRPr="00FC293B">
        <w:rPr>
          <w:rFonts w:ascii="Times New Roman" w:eastAsia="Times New Roman" w:hAnsi="Times New Roman" w:cs="Times New Roman"/>
          <w:sz w:val="24"/>
          <w:szCs w:val="24"/>
        </w:rPr>
        <w:t>показател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FC293B">
        <w:rPr>
          <w:rFonts w:ascii="Times New Roman" w:eastAsia="Times New Roman" w:hAnsi="Times New Roman" w:cs="Times New Roman"/>
          <w:sz w:val="24"/>
          <w:szCs w:val="24"/>
        </w:rPr>
        <w:t xml:space="preserve"> эффективности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ее </w:t>
      </w:r>
      <w:r w:rsidRPr="00FC293B">
        <w:rPr>
          <w:rFonts w:ascii="Times New Roman" w:eastAsia="Times New Roman" w:hAnsi="Times New Roman" w:cs="Times New Roman"/>
          <w:sz w:val="24"/>
          <w:szCs w:val="24"/>
        </w:rPr>
        <w:t xml:space="preserve">реализации </w:t>
      </w:r>
      <w:r w:rsidRPr="00FC29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«Процент заполняемости офисных площадей бизнес-инкубаторов, предназначенных для аренды субъектами МиСИП» достиг целевого значения, что свидетельствует об эффективности мероприятия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муниципальной программы</w:t>
      </w:r>
      <w:r w:rsidRPr="00FC293B">
        <w:rPr>
          <w:rFonts w:ascii="Times New Roman" w:eastAsia="Times New Roman" w:hAnsi="Times New Roman" w:cs="Times New Roman"/>
          <w:sz w:val="24"/>
          <w:szCs w:val="24"/>
        </w:rPr>
        <w:t>, реализация которого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293B">
        <w:rPr>
          <w:rFonts w:ascii="Times New Roman" w:eastAsia="Times New Roman" w:hAnsi="Times New Roman" w:cs="Times New Roman"/>
          <w:sz w:val="24"/>
          <w:szCs w:val="24"/>
        </w:rPr>
        <w:t>обеспечивается за счет имущества, предоставленного в безвозмездное пользование.</w:t>
      </w:r>
    </w:p>
    <w:p w14:paraId="58E61F87" w14:textId="77777777" w:rsidR="00562B56" w:rsidRDefault="00562B56" w:rsidP="00562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547256" w14:textId="77777777" w:rsidR="00562B56" w:rsidRPr="0065343F" w:rsidRDefault="00562B56" w:rsidP="00562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534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534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5343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65343F">
        <w:rPr>
          <w:rFonts w:ascii="Times New Roman" w:hAnsi="Times New Roman" w:cs="Times New Roman"/>
          <w:sz w:val="24"/>
          <w:szCs w:val="24"/>
        </w:rPr>
        <w:t xml:space="preserve"> году был проведен анализ исполнения контрактуемых расходов заказчиками муниципального образования «Город Обнинск» в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65343F">
        <w:rPr>
          <w:rFonts w:ascii="Times New Roman" w:hAnsi="Times New Roman" w:cs="Times New Roman"/>
          <w:sz w:val="24"/>
          <w:szCs w:val="24"/>
        </w:rPr>
        <w:t xml:space="preserve"> году с использованием программного комплекса СПАРК-маркетинг.</w:t>
      </w:r>
    </w:p>
    <w:p w14:paraId="35B2FD1F" w14:textId="77777777" w:rsidR="00562B56" w:rsidRPr="0065343F" w:rsidRDefault="00562B56" w:rsidP="00562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43F">
        <w:rPr>
          <w:rFonts w:ascii="Times New Roman" w:hAnsi="Times New Roman" w:cs="Times New Roman"/>
          <w:sz w:val="24"/>
          <w:szCs w:val="24"/>
        </w:rPr>
        <w:t xml:space="preserve">В ходе аналитического мероприятия рассмотрена закупочная 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71 муниципальных </w:t>
      </w:r>
      <w:r w:rsidRPr="0065343F"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5343F">
        <w:rPr>
          <w:rFonts w:ascii="Times New Roman" w:hAnsi="Times New Roman" w:cs="Times New Roman"/>
          <w:sz w:val="24"/>
          <w:szCs w:val="24"/>
        </w:rPr>
        <w:t xml:space="preserve">, осуществляющих свою деятельность в соответствии с Федеральным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5343F">
        <w:rPr>
          <w:rFonts w:ascii="Times New Roman" w:hAnsi="Times New Roman" w:cs="Times New Roman"/>
          <w:sz w:val="24"/>
          <w:szCs w:val="24"/>
        </w:rPr>
        <w:t xml:space="preserve"> 44-ФЗ. </w:t>
      </w:r>
    </w:p>
    <w:p w14:paraId="2EA56ABA" w14:textId="77777777" w:rsidR="00562B56" w:rsidRPr="0065343F" w:rsidRDefault="00562B56" w:rsidP="00562B5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AFC1A98" w14:textId="77777777" w:rsidR="00562B56" w:rsidRPr="00B051EF" w:rsidRDefault="00562B56" w:rsidP="00562B56">
      <w:pPr>
        <w:pStyle w:val="11"/>
        <w:ind w:firstLine="425"/>
        <w:rPr>
          <w:rFonts w:ascii="Times New Roman" w:hAnsi="Times New Roman" w:cs="Times New Roman"/>
          <w:color w:val="auto"/>
          <w:sz w:val="24"/>
          <w:szCs w:val="24"/>
        </w:rPr>
      </w:pPr>
      <w:r w:rsidRPr="00B051EF">
        <w:rPr>
          <w:rFonts w:ascii="Times New Roman" w:hAnsi="Times New Roman" w:cs="Times New Roman"/>
          <w:color w:val="auto"/>
          <w:sz w:val="24"/>
          <w:szCs w:val="24"/>
        </w:rPr>
        <w:t>Всего в 202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B051EF">
        <w:rPr>
          <w:rFonts w:ascii="Times New Roman" w:hAnsi="Times New Roman" w:cs="Times New Roman"/>
          <w:color w:val="auto"/>
          <w:sz w:val="24"/>
          <w:szCs w:val="24"/>
        </w:rPr>
        <w:t xml:space="preserve"> году муниципальными заказчиками города Обнинска заключено </w:t>
      </w:r>
      <w:r>
        <w:rPr>
          <w:rFonts w:ascii="Times New Roman" w:hAnsi="Times New Roman" w:cs="Times New Roman"/>
          <w:color w:val="auto"/>
          <w:sz w:val="24"/>
          <w:szCs w:val="24"/>
        </w:rPr>
        <w:t>6 411</w:t>
      </w:r>
      <w:r w:rsidRPr="00B051EF">
        <w:rPr>
          <w:rFonts w:ascii="Times New Roman" w:hAnsi="Times New Roman" w:cs="Times New Roman"/>
          <w:color w:val="auto"/>
          <w:sz w:val="24"/>
          <w:szCs w:val="24"/>
        </w:rPr>
        <w:t xml:space="preserve"> контрактов на общую сумму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2 615 943,9</w:t>
      </w:r>
      <w:r w:rsidRPr="00B051EF">
        <w:rPr>
          <w:rFonts w:ascii="Times New Roman" w:hAnsi="Times New Roman" w:cs="Times New Roman"/>
          <w:color w:val="auto"/>
          <w:sz w:val="24"/>
          <w:szCs w:val="24"/>
        </w:rPr>
        <w:t xml:space="preserve"> тыс. рублей, в том числе по результатам конкурентных процедур –</w:t>
      </w:r>
      <w:r w:rsidRPr="00B051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051EF">
        <w:rPr>
          <w:rFonts w:ascii="Times New Roman" w:hAnsi="Times New Roman" w:cs="Times New Roman"/>
          <w:color w:val="auto"/>
          <w:sz w:val="24"/>
          <w:szCs w:val="24"/>
        </w:rPr>
        <w:t xml:space="preserve">на общую сумму </w:t>
      </w:r>
      <w:r w:rsidRPr="00EC05DB">
        <w:rPr>
          <w:rFonts w:ascii="Times New Roman" w:hAnsi="Times New Roman" w:cs="Times New Roman"/>
          <w:color w:val="auto"/>
          <w:sz w:val="24"/>
          <w:szCs w:val="24"/>
        </w:rPr>
        <w:t>617</w:t>
      </w:r>
      <w:r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EC05DB">
        <w:rPr>
          <w:rFonts w:ascii="Times New Roman" w:hAnsi="Times New Roman" w:cs="Times New Roman"/>
          <w:color w:val="auto"/>
          <w:sz w:val="24"/>
          <w:szCs w:val="24"/>
        </w:rPr>
        <w:t xml:space="preserve">960,3 </w:t>
      </w:r>
      <w:r w:rsidRPr="00B051EF">
        <w:rPr>
          <w:rFonts w:ascii="Times New Roman" w:hAnsi="Times New Roman" w:cs="Times New Roman"/>
          <w:color w:val="auto"/>
          <w:sz w:val="24"/>
          <w:szCs w:val="24"/>
        </w:rPr>
        <w:t>тыс. рублей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(23,6%)</w:t>
      </w:r>
      <w:r w:rsidRPr="00B051EF">
        <w:rPr>
          <w:rFonts w:ascii="Times New Roman" w:hAnsi="Times New Roman" w:cs="Times New Roman"/>
          <w:color w:val="auto"/>
          <w:sz w:val="24"/>
          <w:szCs w:val="24"/>
        </w:rPr>
        <w:t xml:space="preserve">, с единственным поставщиком по результатам не состоявшихся конкурентных процедур – на сумму </w:t>
      </w:r>
      <w:r>
        <w:rPr>
          <w:rFonts w:ascii="Times New Roman" w:hAnsi="Times New Roman" w:cs="Times New Roman"/>
          <w:color w:val="auto"/>
          <w:sz w:val="24"/>
          <w:szCs w:val="24"/>
        </w:rPr>
        <w:t>915 547,9</w:t>
      </w:r>
      <w:r w:rsidRPr="00B051EF">
        <w:rPr>
          <w:rFonts w:ascii="Times New Roman" w:hAnsi="Times New Roman" w:cs="Times New Roman"/>
          <w:color w:val="auto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(35,0%)</w:t>
      </w:r>
      <w:r w:rsidRPr="00B051EF">
        <w:rPr>
          <w:rFonts w:ascii="Times New Roman" w:hAnsi="Times New Roman" w:cs="Times New Roman"/>
          <w:color w:val="auto"/>
          <w:sz w:val="24"/>
          <w:szCs w:val="24"/>
        </w:rPr>
        <w:t>, без проведения конкурентных процедур (прямые закупки) –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051EF">
        <w:rPr>
          <w:rFonts w:ascii="Times New Roman" w:hAnsi="Times New Roman" w:cs="Times New Roman"/>
          <w:color w:val="auto"/>
          <w:sz w:val="24"/>
          <w:szCs w:val="24"/>
        </w:rPr>
        <w:t xml:space="preserve">на сумму </w:t>
      </w:r>
      <w:r>
        <w:rPr>
          <w:rFonts w:ascii="Times New Roman" w:hAnsi="Times New Roman" w:cs="Times New Roman"/>
          <w:color w:val="auto"/>
          <w:sz w:val="24"/>
          <w:szCs w:val="24"/>
        </w:rPr>
        <w:t>1 082 435,7</w:t>
      </w:r>
      <w:r w:rsidRPr="00B051EF">
        <w:rPr>
          <w:rFonts w:ascii="Times New Roman" w:hAnsi="Times New Roman" w:cs="Times New Roman"/>
          <w:color w:val="auto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(41,4%)</w:t>
      </w:r>
      <w:r w:rsidRPr="00B051E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494F576" w14:textId="77777777" w:rsidR="00562B56" w:rsidRPr="006451E0" w:rsidRDefault="00562B56" w:rsidP="00562B56">
      <w:pPr>
        <w:pStyle w:val="11"/>
        <w:ind w:firstLine="425"/>
        <w:rPr>
          <w:rFonts w:ascii="Times New Roman" w:hAnsi="Times New Roman" w:cs="Times New Roman"/>
          <w:color w:val="auto"/>
          <w:sz w:val="24"/>
          <w:szCs w:val="24"/>
        </w:rPr>
      </w:pPr>
      <w:r w:rsidRPr="00B051EF">
        <w:rPr>
          <w:rFonts w:ascii="Times New Roman" w:hAnsi="Times New Roman" w:cs="Times New Roman"/>
          <w:color w:val="auto"/>
          <w:sz w:val="24"/>
          <w:szCs w:val="24"/>
        </w:rPr>
        <w:t>Показатель относительной экономии при заключении контрактов в 202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B051EF">
        <w:rPr>
          <w:rFonts w:ascii="Times New Roman" w:hAnsi="Times New Roman" w:cs="Times New Roman"/>
          <w:color w:val="auto"/>
          <w:sz w:val="24"/>
          <w:szCs w:val="24"/>
        </w:rPr>
        <w:t xml:space="preserve"> году составил </w:t>
      </w:r>
      <w:r>
        <w:rPr>
          <w:rFonts w:ascii="Times New Roman" w:hAnsi="Times New Roman" w:cs="Times New Roman"/>
          <w:color w:val="auto"/>
          <w:sz w:val="24"/>
          <w:szCs w:val="24"/>
        </w:rPr>
        <w:t>8,3</w:t>
      </w:r>
      <w:r w:rsidRPr="00B051EF">
        <w:rPr>
          <w:rFonts w:ascii="Times New Roman" w:hAnsi="Times New Roman" w:cs="Times New Roman"/>
          <w:color w:val="auto"/>
          <w:sz w:val="24"/>
          <w:szCs w:val="24"/>
        </w:rPr>
        <w:t xml:space="preserve">% от общей суммы начальных </w:t>
      </w:r>
      <w:r>
        <w:rPr>
          <w:rFonts w:ascii="Times New Roman" w:hAnsi="Times New Roman" w:cs="Times New Roman"/>
          <w:color w:val="auto"/>
          <w:sz w:val="24"/>
          <w:szCs w:val="24"/>
        </w:rPr>
        <w:t>(</w:t>
      </w:r>
      <w:r w:rsidRPr="00B051EF">
        <w:rPr>
          <w:rFonts w:ascii="Times New Roman" w:hAnsi="Times New Roman" w:cs="Times New Roman"/>
          <w:color w:val="auto"/>
          <w:sz w:val="24"/>
          <w:szCs w:val="24"/>
        </w:rPr>
        <w:t>максимальных</w:t>
      </w:r>
      <w:r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B051EF">
        <w:rPr>
          <w:rFonts w:ascii="Times New Roman" w:hAnsi="Times New Roman" w:cs="Times New Roman"/>
          <w:color w:val="auto"/>
          <w:sz w:val="24"/>
          <w:szCs w:val="24"/>
        </w:rPr>
        <w:t xml:space="preserve"> цен контрактов.</w:t>
      </w:r>
      <w:r w:rsidRPr="006451E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1998B34" w14:textId="77777777" w:rsidR="00562B56" w:rsidRPr="0065343F" w:rsidRDefault="00562B56" w:rsidP="00562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7E33D7" w14:textId="77777777" w:rsidR="00562B56" w:rsidRDefault="00562B56" w:rsidP="00562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05DB">
        <w:rPr>
          <w:rFonts w:ascii="Times New Roman" w:hAnsi="Times New Roman" w:cs="Times New Roman"/>
          <w:sz w:val="24"/>
          <w:szCs w:val="24"/>
        </w:rPr>
        <w:t xml:space="preserve">С целью сокращения неконкурентного сектора закупок, снижения роста уровня несостоявшихся закупок </w:t>
      </w:r>
      <w:r>
        <w:rPr>
          <w:rFonts w:ascii="Times New Roman" w:hAnsi="Times New Roman" w:cs="Times New Roman"/>
          <w:sz w:val="24"/>
          <w:szCs w:val="24"/>
        </w:rPr>
        <w:t xml:space="preserve">КСП было предложено </w:t>
      </w:r>
      <w:r w:rsidRPr="00EC05DB">
        <w:rPr>
          <w:rFonts w:ascii="Times New Roman" w:hAnsi="Times New Roman" w:cs="Times New Roman"/>
          <w:sz w:val="24"/>
          <w:szCs w:val="24"/>
        </w:rPr>
        <w:t xml:space="preserve">рассмотреть возможность сокращения использования электронных аукционов и рекомендовать заказчикам при закупке сложных товаров или услуг применять, с учетом аукционного перечня,  способы закупки, которые основаны не на показателе «минимальной цены», а на критерии наиболее экономически выгодного предложения (с учетом цены, стоимости дальнейшей эксплуатации, деловой репутации </w:t>
      </w:r>
      <w:r>
        <w:rPr>
          <w:rFonts w:ascii="Times New Roman" w:hAnsi="Times New Roman" w:cs="Times New Roman"/>
          <w:sz w:val="24"/>
          <w:szCs w:val="24"/>
        </w:rPr>
        <w:t>участников</w:t>
      </w:r>
      <w:r w:rsidRPr="00EC05D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9792F3" w14:textId="77777777" w:rsidR="00562B56" w:rsidRDefault="00562B56" w:rsidP="00562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ED57EF" w14:textId="77777777" w:rsidR="00562B56" w:rsidRDefault="00562B56" w:rsidP="00562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D7E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D7E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 В 2025 году был проведен анализ </w:t>
      </w:r>
      <w:r w:rsidRPr="00EC05DB">
        <w:rPr>
          <w:rFonts w:ascii="Times New Roman" w:hAnsi="Times New Roman" w:cs="Times New Roman"/>
          <w:sz w:val="24"/>
          <w:szCs w:val="24"/>
        </w:rPr>
        <w:t>деятельности отдельных главных администраторов (администраторов) доходов по управлению дебиторской задолженностью по неналоговым доходам бюджета города Обнинска</w:t>
      </w:r>
      <w:r>
        <w:rPr>
          <w:rFonts w:ascii="Times New Roman" w:hAnsi="Times New Roman" w:cs="Times New Roman"/>
          <w:sz w:val="24"/>
          <w:szCs w:val="24"/>
        </w:rPr>
        <w:t xml:space="preserve"> в 2023 и 2024 годах.</w:t>
      </w:r>
    </w:p>
    <w:p w14:paraId="0F5335A2" w14:textId="77777777" w:rsidR="00562B56" w:rsidRDefault="00562B56" w:rsidP="00562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3D381C" w14:textId="77777777" w:rsidR="00562B56" w:rsidRPr="0003012A" w:rsidRDefault="00562B56" w:rsidP="00562B56">
      <w:pPr>
        <w:pStyle w:val="11"/>
        <w:ind w:firstLine="425"/>
        <w:rPr>
          <w:rFonts w:ascii="Times New Roman" w:hAnsi="Times New Roman" w:cs="Times New Roman"/>
          <w:color w:val="auto"/>
          <w:sz w:val="24"/>
          <w:szCs w:val="24"/>
        </w:rPr>
      </w:pPr>
      <w:r w:rsidRPr="0003012A">
        <w:rPr>
          <w:rFonts w:ascii="Times New Roman" w:hAnsi="Times New Roman" w:cs="Times New Roman"/>
          <w:color w:val="auto"/>
          <w:sz w:val="24"/>
          <w:szCs w:val="24"/>
        </w:rPr>
        <w:t>За исследуемый период общий объем дебиторской задолженности по неналоговым доходам, администрируемым муниципальными главными администраторами доходов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бюджета (далее – ГАДБ)</w:t>
      </w:r>
      <w:r w:rsidRPr="0003012A">
        <w:rPr>
          <w:rFonts w:ascii="Times New Roman" w:hAnsi="Times New Roman" w:cs="Times New Roman"/>
          <w:color w:val="auto"/>
          <w:sz w:val="24"/>
          <w:szCs w:val="24"/>
        </w:rPr>
        <w:t>, уменьшился с 665</w:t>
      </w:r>
      <w:r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03012A">
        <w:rPr>
          <w:rFonts w:ascii="Times New Roman" w:hAnsi="Times New Roman" w:cs="Times New Roman"/>
          <w:color w:val="auto"/>
          <w:sz w:val="24"/>
          <w:szCs w:val="24"/>
        </w:rPr>
        <w:t>522,1 тыс. рублей до 663</w:t>
      </w:r>
      <w:r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03012A">
        <w:rPr>
          <w:rFonts w:ascii="Times New Roman" w:hAnsi="Times New Roman" w:cs="Times New Roman"/>
          <w:color w:val="auto"/>
          <w:sz w:val="24"/>
          <w:szCs w:val="24"/>
        </w:rPr>
        <w:t>616,0 тыс. рублей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3012A">
        <w:rPr>
          <w:rFonts w:ascii="Times New Roman" w:hAnsi="Times New Roman" w:cs="Times New Roman"/>
          <w:color w:val="auto"/>
          <w:sz w:val="24"/>
          <w:szCs w:val="24"/>
        </w:rPr>
        <w:t>(на 1 906,1 тыс. рублей, или на 0,3 %)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03012A">
        <w:t xml:space="preserve"> </w:t>
      </w:r>
      <w:r w:rsidRPr="0003012A">
        <w:rPr>
          <w:rFonts w:ascii="Times New Roman" w:hAnsi="Times New Roman" w:cs="Times New Roman"/>
          <w:color w:val="auto"/>
          <w:sz w:val="24"/>
          <w:szCs w:val="24"/>
        </w:rPr>
        <w:t>в том числе:</w:t>
      </w:r>
    </w:p>
    <w:p w14:paraId="759E3CBF" w14:textId="77777777" w:rsidR="00562B56" w:rsidRPr="0003012A" w:rsidRDefault="00562B56" w:rsidP="00562B56">
      <w:pPr>
        <w:pStyle w:val="11"/>
        <w:ind w:firstLine="425"/>
        <w:rPr>
          <w:rFonts w:ascii="Times New Roman" w:hAnsi="Times New Roman" w:cs="Times New Roman"/>
          <w:color w:val="auto"/>
          <w:sz w:val="24"/>
          <w:szCs w:val="24"/>
        </w:rPr>
      </w:pPr>
      <w:r w:rsidRPr="0003012A">
        <w:rPr>
          <w:rFonts w:ascii="Times New Roman" w:hAnsi="Times New Roman" w:cs="Times New Roman"/>
          <w:color w:val="auto"/>
          <w:sz w:val="24"/>
          <w:szCs w:val="24"/>
        </w:rPr>
        <w:t>-</w:t>
      </w:r>
      <w:r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03012A">
        <w:rPr>
          <w:rFonts w:ascii="Times New Roman" w:hAnsi="Times New Roman" w:cs="Times New Roman"/>
          <w:color w:val="auto"/>
          <w:sz w:val="24"/>
          <w:szCs w:val="24"/>
        </w:rPr>
        <w:t>долгосрочная дебиторская задолженность увеличилась с 261</w:t>
      </w:r>
      <w:r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03012A">
        <w:rPr>
          <w:rFonts w:ascii="Times New Roman" w:hAnsi="Times New Roman" w:cs="Times New Roman"/>
          <w:color w:val="auto"/>
          <w:sz w:val="24"/>
          <w:szCs w:val="24"/>
        </w:rPr>
        <w:t>414,2 тыс. рублей до 447</w:t>
      </w:r>
      <w:r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03012A">
        <w:rPr>
          <w:rFonts w:ascii="Times New Roman" w:hAnsi="Times New Roman" w:cs="Times New Roman"/>
          <w:color w:val="auto"/>
          <w:sz w:val="24"/>
          <w:szCs w:val="24"/>
        </w:rPr>
        <w:t xml:space="preserve"> 411,8 тыс. рублей (на 185</w:t>
      </w:r>
      <w:r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03012A">
        <w:rPr>
          <w:rFonts w:ascii="Times New Roman" w:hAnsi="Times New Roman" w:cs="Times New Roman"/>
          <w:color w:val="auto"/>
          <w:sz w:val="24"/>
          <w:szCs w:val="24"/>
        </w:rPr>
        <w:t xml:space="preserve">997,6 тыс. рублей, или на 71,2%); </w:t>
      </w:r>
    </w:p>
    <w:p w14:paraId="528D5C87" w14:textId="77777777" w:rsidR="00562B56" w:rsidRPr="0003012A" w:rsidRDefault="00562B56" w:rsidP="00562B56">
      <w:pPr>
        <w:pStyle w:val="11"/>
        <w:ind w:firstLine="425"/>
        <w:rPr>
          <w:rFonts w:ascii="Times New Roman" w:hAnsi="Times New Roman" w:cs="Times New Roman"/>
          <w:color w:val="auto"/>
          <w:sz w:val="24"/>
          <w:szCs w:val="24"/>
        </w:rPr>
      </w:pPr>
      <w:r w:rsidRPr="0003012A">
        <w:rPr>
          <w:rFonts w:ascii="Times New Roman" w:hAnsi="Times New Roman" w:cs="Times New Roman"/>
          <w:color w:val="auto"/>
          <w:sz w:val="24"/>
          <w:szCs w:val="24"/>
        </w:rPr>
        <w:t>-</w:t>
      </w:r>
      <w:r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03012A">
        <w:rPr>
          <w:rFonts w:ascii="Times New Roman" w:hAnsi="Times New Roman" w:cs="Times New Roman"/>
          <w:color w:val="auto"/>
          <w:sz w:val="24"/>
          <w:szCs w:val="24"/>
        </w:rPr>
        <w:t>просроченная дебиторская задолженность бюджета увеличилась с 77</w:t>
      </w:r>
      <w:r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03012A">
        <w:rPr>
          <w:rFonts w:ascii="Times New Roman" w:hAnsi="Times New Roman" w:cs="Times New Roman"/>
          <w:color w:val="auto"/>
          <w:sz w:val="24"/>
          <w:szCs w:val="24"/>
        </w:rPr>
        <w:t xml:space="preserve">013,2 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Pr="0003012A">
        <w:rPr>
          <w:rFonts w:ascii="Times New Roman" w:hAnsi="Times New Roman" w:cs="Times New Roman"/>
          <w:color w:val="auto"/>
          <w:sz w:val="24"/>
          <w:szCs w:val="24"/>
        </w:rPr>
        <w:t>тыс. рублей до 88</w:t>
      </w:r>
      <w:r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03012A">
        <w:rPr>
          <w:rFonts w:ascii="Times New Roman" w:hAnsi="Times New Roman" w:cs="Times New Roman"/>
          <w:color w:val="auto"/>
          <w:sz w:val="24"/>
          <w:szCs w:val="24"/>
        </w:rPr>
        <w:t>587,7 (на 11</w:t>
      </w:r>
      <w:r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03012A">
        <w:rPr>
          <w:rFonts w:ascii="Times New Roman" w:hAnsi="Times New Roman" w:cs="Times New Roman"/>
          <w:color w:val="auto"/>
          <w:sz w:val="24"/>
          <w:szCs w:val="24"/>
        </w:rPr>
        <w:t>574,5 тыс. рублей, или на 15,0 %).</w:t>
      </w:r>
    </w:p>
    <w:p w14:paraId="14238BAD" w14:textId="77777777" w:rsidR="00562B56" w:rsidRPr="0003012A" w:rsidRDefault="00562B56" w:rsidP="00562B56">
      <w:pPr>
        <w:pStyle w:val="11"/>
        <w:ind w:firstLine="425"/>
        <w:rPr>
          <w:rFonts w:ascii="Times New Roman" w:hAnsi="Times New Roman" w:cs="Times New Roman"/>
          <w:color w:val="auto"/>
          <w:sz w:val="24"/>
          <w:szCs w:val="24"/>
        </w:rPr>
      </w:pPr>
      <w:r w:rsidRPr="0003012A">
        <w:rPr>
          <w:rFonts w:ascii="Times New Roman" w:hAnsi="Times New Roman" w:cs="Times New Roman"/>
          <w:color w:val="auto"/>
          <w:sz w:val="24"/>
          <w:szCs w:val="24"/>
        </w:rPr>
        <w:t>-</w:t>
      </w:r>
      <w:r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03012A">
        <w:rPr>
          <w:rFonts w:ascii="Times New Roman" w:hAnsi="Times New Roman" w:cs="Times New Roman"/>
          <w:color w:val="auto"/>
          <w:sz w:val="24"/>
          <w:szCs w:val="24"/>
        </w:rPr>
        <w:t>текущая задолженность уменьшилась с 327</w:t>
      </w:r>
      <w:r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03012A">
        <w:rPr>
          <w:rFonts w:ascii="Times New Roman" w:hAnsi="Times New Roman" w:cs="Times New Roman"/>
          <w:color w:val="auto"/>
          <w:sz w:val="24"/>
          <w:szCs w:val="24"/>
        </w:rPr>
        <w:t>094,7 до 127</w:t>
      </w:r>
      <w:r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03012A">
        <w:rPr>
          <w:rFonts w:ascii="Times New Roman" w:hAnsi="Times New Roman" w:cs="Times New Roman"/>
          <w:color w:val="auto"/>
          <w:sz w:val="24"/>
          <w:szCs w:val="24"/>
        </w:rPr>
        <w:t xml:space="preserve">616,5 тыс. рублей 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Pr="0003012A">
        <w:rPr>
          <w:rFonts w:ascii="Times New Roman" w:hAnsi="Times New Roman" w:cs="Times New Roman"/>
          <w:color w:val="auto"/>
          <w:sz w:val="24"/>
          <w:szCs w:val="24"/>
        </w:rPr>
        <w:t>(на 199</w:t>
      </w:r>
      <w:r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03012A">
        <w:rPr>
          <w:rFonts w:ascii="Times New Roman" w:hAnsi="Times New Roman" w:cs="Times New Roman"/>
          <w:color w:val="auto"/>
          <w:sz w:val="24"/>
          <w:szCs w:val="24"/>
        </w:rPr>
        <w:t>478,2 тыс. рублей, или на 61,0%).</w:t>
      </w:r>
    </w:p>
    <w:p w14:paraId="32B21D27" w14:textId="77777777" w:rsidR="00562B56" w:rsidRDefault="00562B56" w:rsidP="00562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152892" w14:textId="77777777" w:rsidR="00562B56" w:rsidRDefault="00562B56" w:rsidP="00562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12A">
        <w:rPr>
          <w:rFonts w:ascii="Times New Roman" w:hAnsi="Times New Roman" w:cs="Times New Roman"/>
          <w:sz w:val="24"/>
          <w:szCs w:val="24"/>
        </w:rPr>
        <w:t>По результатам анализа структуры дебиторской задолженности установлено, что на 01.01.2023, на 01.01.2024 и на 01.01.2025 наибольшую долю (93,2%, 89,5%, 73,6% соответственно) в общем объеме дебиторской задолженности по неналоговым доходам, администрируемым муниципальными ГАДБ, составляет задолженность по доходам от использования имущества (от сдачи в аренду имущества казны и земельных участков, находящихся в муниципальной собственности, и земельных участков, государственная собственность на которые не разграничена), администратором которых является Администрация города Обнинска.</w:t>
      </w:r>
    </w:p>
    <w:p w14:paraId="24C26D37" w14:textId="77777777" w:rsidR="00562B56" w:rsidRPr="00EC05DB" w:rsidRDefault="00562B56" w:rsidP="00562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05DB">
        <w:rPr>
          <w:rFonts w:ascii="Times New Roman" w:hAnsi="Times New Roman" w:cs="Times New Roman"/>
          <w:sz w:val="24"/>
          <w:szCs w:val="24"/>
        </w:rPr>
        <w:lastRenderedPageBreak/>
        <w:t>Просроченная дебиторская задолженность по доходам от использования имущества в исследуемом периоде увеличилась с 71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C05DB">
        <w:rPr>
          <w:rFonts w:ascii="Times New Roman" w:hAnsi="Times New Roman" w:cs="Times New Roman"/>
          <w:sz w:val="24"/>
          <w:szCs w:val="24"/>
        </w:rPr>
        <w:t>768,5 тыс. рублей до 82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C05DB">
        <w:rPr>
          <w:rFonts w:ascii="Times New Roman" w:hAnsi="Times New Roman" w:cs="Times New Roman"/>
          <w:sz w:val="24"/>
          <w:szCs w:val="24"/>
        </w:rPr>
        <w:t xml:space="preserve">627,4 </w:t>
      </w:r>
      <w:r>
        <w:rPr>
          <w:rFonts w:ascii="Times New Roman" w:hAnsi="Times New Roman" w:cs="Times New Roman"/>
          <w:sz w:val="24"/>
          <w:szCs w:val="24"/>
        </w:rPr>
        <w:br/>
      </w:r>
      <w:r w:rsidRPr="00EC05DB">
        <w:rPr>
          <w:rFonts w:ascii="Times New Roman" w:hAnsi="Times New Roman" w:cs="Times New Roman"/>
          <w:sz w:val="24"/>
          <w:szCs w:val="24"/>
        </w:rPr>
        <w:t>тыс. рублей на 10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C05DB">
        <w:rPr>
          <w:rFonts w:ascii="Times New Roman" w:hAnsi="Times New Roman" w:cs="Times New Roman"/>
          <w:sz w:val="24"/>
          <w:szCs w:val="24"/>
        </w:rPr>
        <w:t>858,9 тыс. рублей, или на 15,1%.</w:t>
      </w:r>
    </w:p>
    <w:p w14:paraId="51E49A57" w14:textId="77777777" w:rsidR="00562B56" w:rsidRPr="00EC05DB" w:rsidRDefault="00562B56" w:rsidP="00562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05DB">
        <w:rPr>
          <w:rFonts w:ascii="Times New Roman" w:hAnsi="Times New Roman" w:cs="Times New Roman"/>
          <w:sz w:val="24"/>
          <w:szCs w:val="24"/>
        </w:rPr>
        <w:t>Рост просроченной дебиторской задолженности по доходам от использования имущества в исследуемом периоде в основном обусловлен увеличением просроченной задолженности по доходам от сдачи в аренду земельных участков, государственная собственность на которые не разграничена, на 11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C05DB">
        <w:rPr>
          <w:rFonts w:ascii="Times New Roman" w:hAnsi="Times New Roman" w:cs="Times New Roman"/>
          <w:sz w:val="24"/>
          <w:szCs w:val="24"/>
        </w:rPr>
        <w:t xml:space="preserve">000,9 тыс. рублей, или на 21,0%. </w:t>
      </w:r>
    </w:p>
    <w:p w14:paraId="4A01E0C2" w14:textId="77777777" w:rsidR="00562B56" w:rsidRPr="00EC05DB" w:rsidRDefault="00562B56" w:rsidP="00562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05DB">
        <w:rPr>
          <w:rFonts w:ascii="Times New Roman" w:hAnsi="Times New Roman" w:cs="Times New Roman"/>
          <w:sz w:val="24"/>
          <w:szCs w:val="24"/>
        </w:rPr>
        <w:t xml:space="preserve">Просроченная задолженность по доходам от сдачи в аренду земельных участков, находящихся в муниципальной собственности, увеличилась на 435,6 тыс. рублей, или на 2,5%, по доходам от сдачи в аренду имущества казны просроченная задолженность снизилась на 577,7 тыс. рублей, или на 25,2%.  </w:t>
      </w:r>
    </w:p>
    <w:p w14:paraId="4518548F" w14:textId="77777777" w:rsidR="00562B56" w:rsidRPr="008729F8" w:rsidRDefault="00562B56" w:rsidP="00562B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29F8">
        <w:rPr>
          <w:rFonts w:ascii="Times New Roman" w:hAnsi="Times New Roman" w:cs="Times New Roman"/>
          <w:sz w:val="24"/>
          <w:szCs w:val="24"/>
        </w:rPr>
        <w:t xml:space="preserve">Анализ нормотворчества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729F8">
        <w:rPr>
          <w:rFonts w:ascii="Times New Roman" w:hAnsi="Times New Roman" w:cs="Times New Roman"/>
          <w:sz w:val="24"/>
          <w:szCs w:val="24"/>
        </w:rPr>
        <w:t xml:space="preserve">дминистрации города и локальных актов главных администраторов (администраторов) доходов бюджета города, регулирующих систему управления дебиторской задолженностью, выявил отдельные несоответствия их норм, в частности, положениям ст. 47.2, п.п. 3.2, 3.3 ст. 160.1 БК РФ, постановлению Правительства РФ от 16.09.2021 № 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постановлению Правительства РФ от 06.05.2016 № 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приказу Минфина России от 26.09.2024 №  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 (несоответствие </w:t>
      </w:r>
      <w:r>
        <w:rPr>
          <w:rFonts w:ascii="Times New Roman" w:hAnsi="Times New Roman" w:cs="Times New Roman"/>
          <w:sz w:val="24"/>
          <w:szCs w:val="24"/>
        </w:rPr>
        <w:t xml:space="preserve">установленным </w:t>
      </w:r>
      <w:r w:rsidRPr="008729F8">
        <w:rPr>
          <w:rFonts w:ascii="Times New Roman" w:hAnsi="Times New Roman" w:cs="Times New Roman"/>
          <w:sz w:val="24"/>
          <w:szCs w:val="24"/>
        </w:rPr>
        <w:t xml:space="preserve">общим требованиям: состава и периодичности утверждения перечня ГАДБ, </w:t>
      </w:r>
      <w:r w:rsidRPr="008729F8">
        <w:rPr>
          <w:rFonts w:ascii="Times New Roman" w:eastAsia="Calibri" w:hAnsi="Times New Roman" w:cs="Times New Roman"/>
          <w:sz w:val="24"/>
          <w:szCs w:val="24"/>
        </w:rPr>
        <w:t>ре</w:t>
      </w:r>
      <w:r w:rsidRPr="008729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гламентов </w:t>
      </w:r>
      <w:r w:rsidRPr="008729F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 </w:t>
      </w:r>
      <w:r w:rsidRPr="008729F8">
        <w:rPr>
          <w:rFonts w:ascii="Times New Roman" w:eastAsia="Calibri" w:hAnsi="Times New Roman" w:cs="Times New Roman"/>
          <w:sz w:val="24"/>
          <w:szCs w:val="24"/>
        </w:rPr>
        <w:t xml:space="preserve">реализации полномочий по взысканию дебиторской задолженности по платежам в бюджет у </w:t>
      </w:r>
      <w:r w:rsidRPr="008729F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7 </w:t>
      </w:r>
      <w:r w:rsidRPr="008729F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администраторов доходов бюджета</w:t>
      </w:r>
      <w:r w:rsidRPr="008729F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729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</w:t>
      </w:r>
      <w:r w:rsidRPr="008729F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орядка принятия решения о признании безнадежной к взысканию задолженности по платежам в бюджет у 1 ГАДБ, а также его отсутствие у 4 ГАДБ).</w:t>
      </w:r>
      <w:r w:rsidRPr="008729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0C2DF" w14:textId="77777777" w:rsidR="00562B56" w:rsidRPr="00EC05DB" w:rsidRDefault="00562B56" w:rsidP="00562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экспертно-аналитического мероприятия Палатой, в частности,  было предложено </w:t>
      </w:r>
      <w:r w:rsidRPr="0003012A">
        <w:rPr>
          <w:rFonts w:ascii="Times New Roman" w:hAnsi="Times New Roman" w:cs="Times New Roman"/>
          <w:sz w:val="24"/>
          <w:szCs w:val="24"/>
        </w:rPr>
        <w:t>нормативны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3012A">
        <w:rPr>
          <w:rFonts w:ascii="Times New Roman" w:hAnsi="Times New Roman" w:cs="Times New Roman"/>
          <w:sz w:val="24"/>
          <w:szCs w:val="24"/>
        </w:rPr>
        <w:t xml:space="preserve"> правовы</w:t>
      </w:r>
      <w:r>
        <w:rPr>
          <w:rFonts w:ascii="Times New Roman" w:hAnsi="Times New Roman" w:cs="Times New Roman"/>
          <w:sz w:val="24"/>
          <w:szCs w:val="24"/>
        </w:rPr>
        <w:t xml:space="preserve">е и </w:t>
      </w:r>
      <w:r w:rsidRPr="0003012A">
        <w:rPr>
          <w:rFonts w:ascii="Times New Roman" w:hAnsi="Times New Roman" w:cs="Times New Roman"/>
          <w:sz w:val="24"/>
          <w:szCs w:val="24"/>
        </w:rPr>
        <w:t>локальны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03012A"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z w:val="24"/>
          <w:szCs w:val="24"/>
        </w:rPr>
        <w:t xml:space="preserve">ы главных администраторов и администраторов доходов бюджета, </w:t>
      </w:r>
      <w:r w:rsidRPr="0003012A">
        <w:rPr>
          <w:rFonts w:ascii="Times New Roman" w:hAnsi="Times New Roman" w:cs="Times New Roman"/>
          <w:sz w:val="24"/>
          <w:szCs w:val="24"/>
        </w:rPr>
        <w:t>регулирующи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3012A">
        <w:rPr>
          <w:rFonts w:ascii="Times New Roman" w:hAnsi="Times New Roman" w:cs="Times New Roman"/>
          <w:sz w:val="24"/>
          <w:szCs w:val="24"/>
        </w:rPr>
        <w:t xml:space="preserve"> систему управления дебиторской задолженностью</w:t>
      </w:r>
      <w:r>
        <w:rPr>
          <w:rFonts w:ascii="Times New Roman" w:hAnsi="Times New Roman" w:cs="Times New Roman"/>
          <w:sz w:val="24"/>
          <w:szCs w:val="24"/>
        </w:rPr>
        <w:t>, привести в соответствии с требованиями действующего законодательства, а также рекомендовано</w:t>
      </w:r>
      <w:r w:rsidRPr="00EC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рассмотреть </w:t>
      </w:r>
      <w:r w:rsidRPr="00EC05DB">
        <w:rPr>
          <w:rFonts w:ascii="Times New Roman" w:hAnsi="Times New Roman" w:cs="Times New Roman"/>
          <w:sz w:val="24"/>
          <w:szCs w:val="24"/>
        </w:rPr>
        <w:t xml:space="preserve">вопрос о включении в план работы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C05DB">
        <w:rPr>
          <w:rFonts w:ascii="Times New Roman" w:hAnsi="Times New Roman" w:cs="Times New Roman"/>
          <w:sz w:val="24"/>
          <w:szCs w:val="24"/>
        </w:rPr>
        <w:t>рган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C05DB">
        <w:rPr>
          <w:rFonts w:ascii="Times New Roman" w:hAnsi="Times New Roman" w:cs="Times New Roman"/>
          <w:sz w:val="24"/>
          <w:szCs w:val="24"/>
        </w:rPr>
        <w:t xml:space="preserve"> внутреннего муниципального финансового контроля мероприятий по проверке исполнения бюджетных полномочий по администрированию доходов местного бюджета в соответствии с приказом Минфина России от 10.12.2024 № 546 «Об утверждении методических рекомендаций по проведению органами внутреннего государственного (муниципального) финансового контроля проверок исполнения бюджетных полномочий по администрированию доходов федерального бюджета (бюджета субъекта Российской Федерации, местного бюджета и бюджета государственного внебюджетного фонда Российской Федерации)».</w:t>
      </w:r>
    </w:p>
    <w:p w14:paraId="6DF0C571" w14:textId="77777777" w:rsidR="00562B56" w:rsidRDefault="00562B56" w:rsidP="00562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D3777C" w14:textId="77777777" w:rsidR="00562B56" w:rsidRPr="0065343F" w:rsidRDefault="00562B56" w:rsidP="00562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534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534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5343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65343F">
        <w:rPr>
          <w:rFonts w:ascii="Times New Roman" w:hAnsi="Times New Roman" w:cs="Times New Roman"/>
          <w:sz w:val="24"/>
          <w:szCs w:val="24"/>
        </w:rPr>
        <w:t xml:space="preserve"> году был проведен анализ</w:t>
      </w:r>
      <w:r w:rsidRPr="00C348A8">
        <w:t xml:space="preserve"> </w:t>
      </w:r>
      <w:r w:rsidRPr="00C348A8">
        <w:rPr>
          <w:rFonts w:ascii="Times New Roman" w:hAnsi="Times New Roman" w:cs="Times New Roman"/>
          <w:sz w:val="24"/>
          <w:szCs w:val="24"/>
        </w:rPr>
        <w:t>реализации мер, предусмотренных бюджетной и налоговой политикой муниципального образования «Город Обнинск», направленных на расширение налоговой базы по имущественным налогам (налогу на имущество физических лиц, земельному налогу)</w:t>
      </w:r>
      <w:r w:rsidRPr="0065343F">
        <w:rPr>
          <w:rFonts w:ascii="Times New Roman" w:hAnsi="Times New Roman" w:cs="Times New Roman"/>
          <w:sz w:val="24"/>
          <w:szCs w:val="24"/>
        </w:rPr>
        <w:t>.</w:t>
      </w:r>
    </w:p>
    <w:p w14:paraId="739BBE90" w14:textId="77777777" w:rsidR="00562B56" w:rsidRPr="00783199" w:rsidRDefault="00562B56" w:rsidP="00562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3199">
        <w:rPr>
          <w:rFonts w:ascii="Times New Roman" w:hAnsi="Times New Roman" w:cs="Times New Roman"/>
          <w:sz w:val="24"/>
          <w:szCs w:val="24"/>
        </w:rPr>
        <w:lastRenderedPageBreak/>
        <w:t>Доля имущественных налогов, поступивших в бюджет в 2023 году, в общей сумме налоговых доходов составила 9,8% (267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83199">
        <w:rPr>
          <w:rFonts w:ascii="Times New Roman" w:hAnsi="Times New Roman" w:cs="Times New Roman"/>
          <w:sz w:val="24"/>
          <w:szCs w:val="24"/>
        </w:rPr>
        <w:t>831,4 тыс. рублей), в том числе земельный налог – 5,1% (137 928,3 тыс. рублей), налог на имущество физических лиц – 4,7% (129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83199">
        <w:rPr>
          <w:rFonts w:ascii="Times New Roman" w:hAnsi="Times New Roman" w:cs="Times New Roman"/>
          <w:sz w:val="24"/>
          <w:szCs w:val="24"/>
        </w:rPr>
        <w:t xml:space="preserve">903,1 </w:t>
      </w:r>
      <w:r>
        <w:rPr>
          <w:rFonts w:ascii="Times New Roman" w:hAnsi="Times New Roman" w:cs="Times New Roman"/>
          <w:sz w:val="24"/>
          <w:szCs w:val="24"/>
        </w:rPr>
        <w:br/>
      </w:r>
      <w:r w:rsidRPr="00783199">
        <w:rPr>
          <w:rFonts w:ascii="Times New Roman" w:hAnsi="Times New Roman" w:cs="Times New Roman"/>
          <w:sz w:val="24"/>
          <w:szCs w:val="24"/>
        </w:rPr>
        <w:t>тыс. рублей).</w:t>
      </w:r>
    </w:p>
    <w:p w14:paraId="38EA9772" w14:textId="77777777" w:rsidR="00562B56" w:rsidRPr="00783199" w:rsidRDefault="00562B56" w:rsidP="00562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3199">
        <w:rPr>
          <w:rFonts w:ascii="Times New Roman" w:hAnsi="Times New Roman" w:cs="Times New Roman"/>
          <w:sz w:val="24"/>
          <w:szCs w:val="24"/>
        </w:rPr>
        <w:t>Доля имущественных налогов, поступивших в бюджет в 2024 году, в общей сумме налоговых доходов составила 7,9 % (268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83199">
        <w:rPr>
          <w:rFonts w:ascii="Times New Roman" w:hAnsi="Times New Roman" w:cs="Times New Roman"/>
          <w:sz w:val="24"/>
          <w:szCs w:val="24"/>
        </w:rPr>
        <w:t>853,2 тыс. рублей), в том числе: земельный налог – 3,0% (102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83199">
        <w:rPr>
          <w:rFonts w:ascii="Times New Roman" w:hAnsi="Times New Roman" w:cs="Times New Roman"/>
          <w:sz w:val="24"/>
          <w:szCs w:val="24"/>
        </w:rPr>
        <w:t>624,9 тыс. рублей), налог на имущество физических лиц – 4,9% (166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83199">
        <w:rPr>
          <w:rFonts w:ascii="Times New Roman" w:hAnsi="Times New Roman" w:cs="Times New Roman"/>
          <w:sz w:val="24"/>
          <w:szCs w:val="24"/>
        </w:rPr>
        <w:t xml:space="preserve">228,3 </w:t>
      </w:r>
      <w:r>
        <w:rPr>
          <w:rFonts w:ascii="Times New Roman" w:hAnsi="Times New Roman" w:cs="Times New Roman"/>
          <w:sz w:val="24"/>
          <w:szCs w:val="24"/>
        </w:rPr>
        <w:br/>
      </w:r>
      <w:r w:rsidRPr="00783199">
        <w:rPr>
          <w:rFonts w:ascii="Times New Roman" w:hAnsi="Times New Roman" w:cs="Times New Roman"/>
          <w:sz w:val="24"/>
          <w:szCs w:val="24"/>
        </w:rPr>
        <w:t>тыс. рублей).</w:t>
      </w:r>
    </w:p>
    <w:p w14:paraId="1AC0B114" w14:textId="77777777" w:rsidR="00562B56" w:rsidRPr="00783199" w:rsidRDefault="00562B56" w:rsidP="00562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3199">
        <w:rPr>
          <w:rFonts w:ascii="Times New Roman" w:hAnsi="Times New Roman" w:cs="Times New Roman"/>
          <w:sz w:val="24"/>
          <w:szCs w:val="24"/>
        </w:rPr>
        <w:t>Доля имущественных налогов, поступивших в бюджет за 1 полугодие 2025 года, в общей сумме налоговых доходов составила 3,5% (58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83199">
        <w:rPr>
          <w:rFonts w:ascii="Times New Roman" w:hAnsi="Times New Roman" w:cs="Times New Roman"/>
          <w:sz w:val="24"/>
          <w:szCs w:val="24"/>
        </w:rPr>
        <w:t>657,2 тыс. рублей), в том числе: земельный налог – 2,9% (48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83199">
        <w:rPr>
          <w:rFonts w:ascii="Times New Roman" w:hAnsi="Times New Roman" w:cs="Times New Roman"/>
          <w:sz w:val="24"/>
          <w:szCs w:val="24"/>
        </w:rPr>
        <w:t>683,1 тыс. рублей), налог на имущество физических лиц – 0,6% (9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83199">
        <w:rPr>
          <w:rFonts w:ascii="Times New Roman" w:hAnsi="Times New Roman" w:cs="Times New Roman"/>
          <w:sz w:val="24"/>
          <w:szCs w:val="24"/>
        </w:rPr>
        <w:t>974,1 тыс. рублей). Плановый объем поступлений исполнен на 24,3%.</w:t>
      </w:r>
    </w:p>
    <w:p w14:paraId="6D561CBC" w14:textId="77777777" w:rsidR="00562B56" w:rsidRPr="00783199" w:rsidRDefault="00562B56" w:rsidP="00562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3199">
        <w:rPr>
          <w:rFonts w:ascii="Times New Roman" w:hAnsi="Times New Roman" w:cs="Times New Roman"/>
          <w:sz w:val="24"/>
          <w:szCs w:val="24"/>
        </w:rPr>
        <w:t>Объем поступлений в бюджет имущественных налогов в 2024 году (268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83199">
        <w:rPr>
          <w:rFonts w:ascii="Times New Roman" w:hAnsi="Times New Roman" w:cs="Times New Roman"/>
          <w:sz w:val="24"/>
          <w:szCs w:val="24"/>
        </w:rPr>
        <w:t xml:space="preserve">853,2 </w:t>
      </w:r>
      <w:r>
        <w:rPr>
          <w:rFonts w:ascii="Times New Roman" w:hAnsi="Times New Roman" w:cs="Times New Roman"/>
          <w:sz w:val="24"/>
          <w:szCs w:val="24"/>
        </w:rPr>
        <w:br/>
      </w:r>
      <w:r w:rsidRPr="00783199">
        <w:rPr>
          <w:rFonts w:ascii="Times New Roman" w:hAnsi="Times New Roman" w:cs="Times New Roman"/>
          <w:sz w:val="24"/>
          <w:szCs w:val="24"/>
        </w:rPr>
        <w:t>тыс. рублей), относительно поступлений 2023 года (267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83199">
        <w:rPr>
          <w:rFonts w:ascii="Times New Roman" w:hAnsi="Times New Roman" w:cs="Times New Roman"/>
          <w:sz w:val="24"/>
          <w:szCs w:val="24"/>
        </w:rPr>
        <w:t>831,4 тыс. рублей) увеличился на 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83199">
        <w:rPr>
          <w:rFonts w:ascii="Times New Roman" w:hAnsi="Times New Roman" w:cs="Times New Roman"/>
          <w:sz w:val="24"/>
          <w:szCs w:val="24"/>
        </w:rPr>
        <w:t>021,8 тыс. рублей, или на 0,4%, в том числе:</w:t>
      </w:r>
    </w:p>
    <w:p w14:paraId="1B995BA6" w14:textId="77777777" w:rsidR="00562B56" w:rsidRPr="00783199" w:rsidRDefault="00562B56" w:rsidP="00562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3199">
        <w:rPr>
          <w:rFonts w:ascii="Times New Roman" w:hAnsi="Times New Roman" w:cs="Times New Roman"/>
          <w:sz w:val="24"/>
          <w:szCs w:val="24"/>
        </w:rPr>
        <w:t>- поступление земельного налога снизилось на 35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83199">
        <w:rPr>
          <w:rFonts w:ascii="Times New Roman" w:hAnsi="Times New Roman" w:cs="Times New Roman"/>
          <w:sz w:val="24"/>
          <w:szCs w:val="24"/>
        </w:rPr>
        <w:t>303,4 тыс. рублей, или на 25,6%. Снижение поступлений по земельному налогу в основном обусловлено уменьшением размера налоговой базы в результате уменьшения кадастровой стоимости земельных участков по результатам проведенной государственной кадастровой оценки. Так, согласно данным форм статистической налоговой отчетности формы № 5-МН «Отчет о налоговой базе и структуре начислений по местным налогам» (далее – отчет № 5-МН) за 2022 и 2023 годы налоговая база по земельному налогу с организаций снизилась на 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83199">
        <w:rPr>
          <w:rFonts w:ascii="Times New Roman" w:hAnsi="Times New Roman" w:cs="Times New Roman"/>
          <w:sz w:val="24"/>
          <w:szCs w:val="24"/>
        </w:rPr>
        <w:t>430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83199">
        <w:rPr>
          <w:rFonts w:ascii="Times New Roman" w:hAnsi="Times New Roman" w:cs="Times New Roman"/>
          <w:sz w:val="24"/>
          <w:szCs w:val="24"/>
        </w:rPr>
        <w:t>299 тыс. рублей, или на 38,5%;</w:t>
      </w:r>
    </w:p>
    <w:p w14:paraId="655DB2D0" w14:textId="77777777" w:rsidR="00562B56" w:rsidRPr="00783199" w:rsidRDefault="00562B56" w:rsidP="00562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3199">
        <w:rPr>
          <w:rFonts w:ascii="Times New Roman" w:hAnsi="Times New Roman" w:cs="Times New Roman"/>
          <w:sz w:val="24"/>
          <w:szCs w:val="24"/>
        </w:rPr>
        <w:t>- поступление налога на имущество физических лиц увеличилось на 36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83199">
        <w:rPr>
          <w:rFonts w:ascii="Times New Roman" w:hAnsi="Times New Roman" w:cs="Times New Roman"/>
          <w:sz w:val="24"/>
          <w:szCs w:val="24"/>
        </w:rPr>
        <w:t>325,2 тыс. рублей, или на 28,0%. Рост поступлений обусловлен, в частности, увеличением количества налогоплательщиков и объектов налогообложения. Согласно отчетам № 5-МН за 2022 и за 2023 год количество налогоплательщиков, которым и</w:t>
      </w:r>
      <w:r>
        <w:rPr>
          <w:rFonts w:ascii="Times New Roman" w:hAnsi="Times New Roman" w:cs="Times New Roman"/>
          <w:sz w:val="24"/>
          <w:szCs w:val="24"/>
        </w:rPr>
        <w:t>счислен налог, увеличилось на 2 </w:t>
      </w:r>
      <w:r w:rsidRPr="00783199">
        <w:rPr>
          <w:rFonts w:ascii="Times New Roman" w:hAnsi="Times New Roman" w:cs="Times New Roman"/>
          <w:sz w:val="24"/>
          <w:szCs w:val="24"/>
        </w:rPr>
        <w:t>619, или на 4,6%, объектов налогообложения – на 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83199">
        <w:rPr>
          <w:rFonts w:ascii="Times New Roman" w:hAnsi="Times New Roman" w:cs="Times New Roman"/>
          <w:sz w:val="24"/>
          <w:szCs w:val="24"/>
        </w:rPr>
        <w:t>991, или на 3,1%, кадастровая стоимость объектов, по которым предъявлен налог – на 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83199">
        <w:rPr>
          <w:rFonts w:ascii="Times New Roman" w:hAnsi="Times New Roman" w:cs="Times New Roman"/>
          <w:sz w:val="24"/>
          <w:szCs w:val="24"/>
        </w:rPr>
        <w:t>834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83199">
        <w:rPr>
          <w:rFonts w:ascii="Times New Roman" w:hAnsi="Times New Roman" w:cs="Times New Roman"/>
          <w:sz w:val="24"/>
          <w:szCs w:val="24"/>
        </w:rPr>
        <w:t>433 тыс. рублей, или на 3,1%.</w:t>
      </w:r>
    </w:p>
    <w:p w14:paraId="56A1C8A7" w14:textId="77777777" w:rsidR="00562B56" w:rsidRPr="00C348A8" w:rsidRDefault="00562B56" w:rsidP="00562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данным статистической налоговой отчетности в</w:t>
      </w:r>
      <w:r w:rsidRPr="00C348A8">
        <w:rPr>
          <w:rFonts w:ascii="Times New Roman" w:hAnsi="Times New Roman" w:cs="Times New Roman"/>
          <w:sz w:val="24"/>
          <w:szCs w:val="24"/>
        </w:rPr>
        <w:t xml:space="preserve"> 2024 году относительно 2023 года по земельному налогу и налогу на имущество физических лиц наблюдается рост налоговой базы, в частности, в результате увеличения количества налогоплательщиков, количества объектов налогообложения и их кадастровой стоимости,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8A8">
        <w:rPr>
          <w:rFonts w:ascii="Times New Roman" w:hAnsi="Times New Roman" w:cs="Times New Roman"/>
          <w:sz w:val="24"/>
          <w:szCs w:val="24"/>
        </w:rPr>
        <w:t>положительно сказывается на общей сумме поступлений в бюджет, так по данным отчетов № 5-МН:</w:t>
      </w:r>
    </w:p>
    <w:p w14:paraId="179B8883" w14:textId="77777777" w:rsidR="00562B56" w:rsidRPr="00C348A8" w:rsidRDefault="00562B56" w:rsidP="00562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8A8">
        <w:rPr>
          <w:rFonts w:ascii="Times New Roman" w:hAnsi="Times New Roman" w:cs="Times New Roman"/>
          <w:sz w:val="24"/>
          <w:szCs w:val="24"/>
        </w:rPr>
        <w:t>- общая сумма земельного налога за 2024 год, подлежащая уплате в бюджет города, составляет 115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348A8">
        <w:rPr>
          <w:rFonts w:ascii="Times New Roman" w:hAnsi="Times New Roman" w:cs="Times New Roman"/>
          <w:sz w:val="24"/>
          <w:szCs w:val="24"/>
        </w:rPr>
        <w:t>114 тыс. рублей, что на 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348A8">
        <w:rPr>
          <w:rFonts w:ascii="Times New Roman" w:hAnsi="Times New Roman" w:cs="Times New Roman"/>
          <w:sz w:val="24"/>
          <w:szCs w:val="24"/>
        </w:rPr>
        <w:t>953 тыс. рублей, или на 1,7% больше суммы земельного налога, подлежащего уплате в бюджет, за 2023 год;</w:t>
      </w:r>
    </w:p>
    <w:p w14:paraId="44D0B4E6" w14:textId="77777777" w:rsidR="00562B56" w:rsidRDefault="00562B56" w:rsidP="00562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8A8">
        <w:rPr>
          <w:rFonts w:ascii="Times New Roman" w:hAnsi="Times New Roman" w:cs="Times New Roman"/>
          <w:sz w:val="24"/>
          <w:szCs w:val="24"/>
        </w:rPr>
        <w:t>- сумма подлежащего уплате в бюджет налога на имущество физических лиц за 2024 год составляет 183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348A8">
        <w:rPr>
          <w:rFonts w:ascii="Times New Roman" w:hAnsi="Times New Roman" w:cs="Times New Roman"/>
          <w:sz w:val="24"/>
          <w:szCs w:val="24"/>
        </w:rPr>
        <w:t>753 тыс. рублей, что относительно 2023 года больше на 13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348A8">
        <w:rPr>
          <w:rFonts w:ascii="Times New Roman" w:hAnsi="Times New Roman" w:cs="Times New Roman"/>
          <w:sz w:val="24"/>
          <w:szCs w:val="24"/>
        </w:rPr>
        <w:t>615 тыс. рублей, или на 8,0%.</w:t>
      </w:r>
    </w:p>
    <w:p w14:paraId="15B8B4F2" w14:textId="77777777" w:rsidR="00562B56" w:rsidRPr="00C348A8" w:rsidRDefault="00562B56" w:rsidP="00562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027623" w14:textId="77777777" w:rsidR="00562B56" w:rsidRPr="00CC066D" w:rsidRDefault="00562B56" w:rsidP="00562B56">
      <w:pPr>
        <w:pStyle w:val="11"/>
        <w:ind w:firstLine="425"/>
        <w:rPr>
          <w:rFonts w:ascii="Times New Roman" w:hAnsi="Times New Roman" w:cs="Times New Roman"/>
          <w:color w:val="auto"/>
          <w:sz w:val="24"/>
          <w:szCs w:val="24"/>
        </w:rPr>
      </w:pPr>
      <w:r w:rsidRPr="00CC066D">
        <w:rPr>
          <w:rFonts w:ascii="Times New Roman" w:hAnsi="Times New Roman" w:cs="Times New Roman"/>
          <w:color w:val="auto"/>
          <w:sz w:val="24"/>
          <w:szCs w:val="24"/>
        </w:rPr>
        <w:t xml:space="preserve">По результатам анализа установлено, что в исследуемом периоде </w:t>
      </w:r>
      <w:r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CC066D">
        <w:rPr>
          <w:rFonts w:ascii="Times New Roman" w:hAnsi="Times New Roman" w:cs="Times New Roman"/>
          <w:color w:val="auto"/>
          <w:sz w:val="24"/>
          <w:szCs w:val="24"/>
        </w:rPr>
        <w:t>дминистрацией города Обнинска осуществлялись следующие мероприятия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CC066D">
        <w:rPr>
          <w:rFonts w:ascii="Times New Roman" w:hAnsi="Times New Roman" w:cs="Times New Roman"/>
          <w:color w:val="auto"/>
          <w:sz w:val="24"/>
          <w:szCs w:val="24"/>
        </w:rPr>
        <w:t xml:space="preserve"> способствующие расширению налоговой базы:</w:t>
      </w:r>
    </w:p>
    <w:p w14:paraId="7B7B0ED4" w14:textId="77777777" w:rsidR="00562B56" w:rsidRPr="00CC066D" w:rsidRDefault="00562B56" w:rsidP="00562B56">
      <w:pPr>
        <w:pStyle w:val="11"/>
        <w:ind w:firstLine="425"/>
        <w:rPr>
          <w:rFonts w:ascii="Times New Roman" w:hAnsi="Times New Roman" w:cs="Times New Roman"/>
          <w:color w:val="auto"/>
          <w:sz w:val="24"/>
          <w:szCs w:val="24"/>
        </w:rPr>
      </w:pPr>
      <w:r w:rsidRPr="00CC066D">
        <w:rPr>
          <w:rFonts w:ascii="Times New Roman" w:hAnsi="Times New Roman" w:cs="Times New Roman"/>
          <w:color w:val="auto"/>
          <w:sz w:val="24"/>
          <w:szCs w:val="24"/>
        </w:rPr>
        <w:t>-</w:t>
      </w:r>
      <w:r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CC066D">
        <w:rPr>
          <w:rFonts w:ascii="Times New Roman" w:hAnsi="Times New Roman" w:cs="Times New Roman"/>
          <w:color w:val="auto"/>
          <w:sz w:val="24"/>
          <w:szCs w:val="24"/>
        </w:rPr>
        <w:t>выявление правообладателей ранее учтенных объектов недвижимости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Pr="00DA768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по состоянию на 01.09.2025 </w:t>
      </w:r>
      <w:r>
        <w:rPr>
          <w:rFonts w:ascii="Times New Roman" w:hAnsi="Times New Roman" w:cs="Times New Roman"/>
          <w:color w:val="auto"/>
          <w:sz w:val="24"/>
          <w:szCs w:val="24"/>
        </w:rPr>
        <w:t>из</w:t>
      </w:r>
      <w:r w:rsidRPr="00DA768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7 753 ранее учтенных объектов недвижимости, указанные мероприятия проведены 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в отношении 5 301 (68,4%))</w:t>
      </w:r>
      <w:r w:rsidRPr="00CC066D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</w:p>
    <w:p w14:paraId="3AF4CD5B" w14:textId="77777777" w:rsidR="00562B56" w:rsidRPr="00CC066D" w:rsidRDefault="00562B56" w:rsidP="00562B56">
      <w:pPr>
        <w:pStyle w:val="11"/>
        <w:ind w:firstLine="425"/>
        <w:rPr>
          <w:rFonts w:ascii="Times New Roman" w:hAnsi="Times New Roman" w:cs="Times New Roman"/>
          <w:color w:val="auto"/>
          <w:sz w:val="24"/>
          <w:szCs w:val="24"/>
        </w:rPr>
      </w:pPr>
      <w:r w:rsidRPr="00CC066D">
        <w:rPr>
          <w:rFonts w:ascii="Times New Roman" w:hAnsi="Times New Roman" w:cs="Times New Roman"/>
          <w:color w:val="auto"/>
          <w:sz w:val="24"/>
          <w:szCs w:val="24"/>
        </w:rPr>
        <w:t>-</w:t>
      </w:r>
      <w:r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CC066D">
        <w:rPr>
          <w:rFonts w:ascii="Times New Roman" w:hAnsi="Times New Roman" w:cs="Times New Roman"/>
          <w:color w:val="auto"/>
          <w:sz w:val="24"/>
          <w:szCs w:val="24"/>
        </w:rPr>
        <w:t>внесение, изменение адресов объектов адресации, размещение информации об адресах, кадастровых номерах объектов адресации в государственном адресном реестре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(з</w:t>
      </w:r>
      <w:r w:rsidRPr="00DA7682">
        <w:rPr>
          <w:rFonts w:ascii="Times New Roman" w:hAnsi="Times New Roman" w:cs="Times New Roman"/>
          <w:color w:val="auto"/>
          <w:sz w:val="24"/>
          <w:szCs w:val="24"/>
        </w:rPr>
        <w:t>а период с 01.05.2023 по 05.07.2025 количество действующих объектов адресации увеличилось на 6</w:t>
      </w:r>
      <w:r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DA7682">
        <w:rPr>
          <w:rFonts w:ascii="Times New Roman" w:hAnsi="Times New Roman" w:cs="Times New Roman"/>
          <w:color w:val="auto"/>
          <w:sz w:val="24"/>
          <w:szCs w:val="24"/>
        </w:rPr>
        <w:t>903 единиц или на 8,5%, количество объектов с кадастровыми номерами увеличилось на 18 452 единиц, или на 15,3%</w:t>
      </w:r>
      <w:r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CC066D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5C76FD17" w14:textId="77777777" w:rsidR="00562B56" w:rsidRPr="00CC066D" w:rsidRDefault="00562B56" w:rsidP="00562B56">
      <w:pPr>
        <w:pStyle w:val="11"/>
        <w:ind w:firstLine="425"/>
        <w:rPr>
          <w:rFonts w:ascii="Times New Roman" w:hAnsi="Times New Roman" w:cs="Times New Roman"/>
          <w:color w:val="auto"/>
          <w:sz w:val="24"/>
          <w:szCs w:val="24"/>
        </w:rPr>
      </w:pPr>
      <w:r w:rsidRPr="00CC066D">
        <w:rPr>
          <w:rFonts w:ascii="Times New Roman" w:hAnsi="Times New Roman" w:cs="Times New Roman"/>
          <w:color w:val="auto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CC066D">
        <w:rPr>
          <w:rFonts w:ascii="Times New Roman" w:hAnsi="Times New Roman" w:cs="Times New Roman"/>
          <w:color w:val="auto"/>
          <w:sz w:val="24"/>
          <w:szCs w:val="24"/>
        </w:rPr>
        <w:t>проведение комплексных кадастровых работ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(комплексные кадастровые работы</w:t>
      </w:r>
      <w:r w:rsidRPr="00153B38">
        <w:rPr>
          <w:rFonts w:ascii="Times New Roman" w:hAnsi="Times New Roman" w:cs="Times New Roman"/>
          <w:color w:val="auto"/>
          <w:sz w:val="24"/>
          <w:szCs w:val="24"/>
        </w:rPr>
        <w:t xml:space="preserve"> проведены в отношении 1</w:t>
      </w:r>
      <w:r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153B38">
        <w:rPr>
          <w:rFonts w:ascii="Times New Roman" w:hAnsi="Times New Roman" w:cs="Times New Roman"/>
          <w:color w:val="auto"/>
          <w:sz w:val="24"/>
          <w:szCs w:val="24"/>
        </w:rPr>
        <w:t>359 объектов недвижимости</w:t>
      </w:r>
      <w:r>
        <w:rPr>
          <w:rFonts w:ascii="Times New Roman" w:hAnsi="Times New Roman" w:cs="Times New Roman"/>
          <w:color w:val="auto"/>
          <w:sz w:val="24"/>
          <w:szCs w:val="24"/>
        </w:rPr>
        <w:t>, в том числе:</w:t>
      </w:r>
      <w:r w:rsidRPr="00153B3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уточнено</w:t>
      </w:r>
      <w:r w:rsidRPr="00153B38">
        <w:rPr>
          <w:rFonts w:ascii="Times New Roman" w:hAnsi="Times New Roman" w:cs="Times New Roman"/>
          <w:color w:val="auto"/>
          <w:sz w:val="24"/>
          <w:szCs w:val="24"/>
        </w:rPr>
        <w:t xml:space="preserve"> местоположение границ 282 </w:t>
      </w:r>
      <w:r>
        <w:rPr>
          <w:rFonts w:ascii="Times New Roman" w:hAnsi="Times New Roman" w:cs="Times New Roman"/>
          <w:color w:val="auto"/>
          <w:sz w:val="24"/>
          <w:szCs w:val="24"/>
        </w:rPr>
        <w:t>земельных участков</w:t>
      </w:r>
      <w:r w:rsidRPr="00153B38">
        <w:rPr>
          <w:rFonts w:ascii="Times New Roman" w:hAnsi="Times New Roman" w:cs="Times New Roman"/>
          <w:color w:val="auto"/>
          <w:sz w:val="24"/>
          <w:szCs w:val="24"/>
        </w:rPr>
        <w:t xml:space="preserve"> и 450 </w:t>
      </w:r>
      <w:r>
        <w:rPr>
          <w:rFonts w:ascii="Times New Roman" w:hAnsi="Times New Roman" w:cs="Times New Roman"/>
          <w:color w:val="auto"/>
          <w:sz w:val="24"/>
          <w:szCs w:val="24"/>
        </w:rPr>
        <w:t>объектов капитального строительства,</w:t>
      </w:r>
      <w:r w:rsidRPr="00153B38">
        <w:rPr>
          <w:rFonts w:ascii="Times New Roman" w:hAnsi="Times New Roman" w:cs="Times New Roman"/>
          <w:color w:val="auto"/>
          <w:sz w:val="24"/>
          <w:szCs w:val="24"/>
        </w:rPr>
        <w:t xml:space="preserve"> исправлено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603 </w:t>
      </w:r>
      <w:r w:rsidRPr="00153B38">
        <w:rPr>
          <w:rFonts w:ascii="Times New Roman" w:hAnsi="Times New Roman" w:cs="Times New Roman"/>
          <w:color w:val="auto"/>
          <w:sz w:val="24"/>
          <w:szCs w:val="24"/>
        </w:rPr>
        <w:t>ре</w:t>
      </w:r>
      <w:r>
        <w:rPr>
          <w:rFonts w:ascii="Times New Roman" w:hAnsi="Times New Roman" w:cs="Times New Roman"/>
          <w:color w:val="auto"/>
          <w:sz w:val="24"/>
          <w:szCs w:val="24"/>
        </w:rPr>
        <w:t>естровых ошибок,</w:t>
      </w:r>
      <w:r w:rsidRPr="00153B38">
        <w:rPr>
          <w:rFonts w:ascii="Times New Roman" w:hAnsi="Times New Roman" w:cs="Times New Roman"/>
          <w:color w:val="auto"/>
          <w:sz w:val="24"/>
          <w:szCs w:val="24"/>
        </w:rPr>
        <w:t xml:space="preserve"> образовано 24 </w:t>
      </w:r>
      <w:r>
        <w:rPr>
          <w:rFonts w:ascii="Times New Roman" w:hAnsi="Times New Roman" w:cs="Times New Roman"/>
          <w:color w:val="auto"/>
          <w:sz w:val="24"/>
          <w:szCs w:val="24"/>
        </w:rPr>
        <w:t>земельных участка)</w:t>
      </w:r>
      <w:r w:rsidRPr="00CC066D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5BD83DCF" w14:textId="77777777" w:rsidR="00562B56" w:rsidRPr="00CC066D" w:rsidRDefault="00562B56" w:rsidP="00562B56">
      <w:pPr>
        <w:pStyle w:val="11"/>
        <w:ind w:firstLine="425"/>
        <w:rPr>
          <w:rFonts w:ascii="Times New Roman" w:hAnsi="Times New Roman" w:cs="Times New Roman"/>
          <w:color w:val="auto"/>
          <w:sz w:val="24"/>
          <w:szCs w:val="24"/>
        </w:rPr>
      </w:pPr>
      <w:r w:rsidRPr="00CC066D">
        <w:rPr>
          <w:rFonts w:ascii="Times New Roman" w:hAnsi="Times New Roman" w:cs="Times New Roman"/>
          <w:color w:val="auto"/>
          <w:sz w:val="24"/>
          <w:szCs w:val="24"/>
        </w:rPr>
        <w:t>-</w:t>
      </w:r>
      <w:r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CC066D">
        <w:rPr>
          <w:rFonts w:ascii="Times New Roman" w:hAnsi="Times New Roman" w:cs="Times New Roman"/>
          <w:color w:val="auto"/>
          <w:sz w:val="24"/>
          <w:szCs w:val="24"/>
        </w:rPr>
        <w:t xml:space="preserve">обследование объектов недвижимости в целях определения вида фактического использования объектов, подлежащих включению в перечень, определяемый в соответствии с п. 7 ст. </w:t>
      </w:r>
      <w:r>
        <w:rPr>
          <w:rFonts w:ascii="Times New Roman" w:hAnsi="Times New Roman" w:cs="Times New Roman"/>
          <w:color w:val="auto"/>
          <w:sz w:val="24"/>
          <w:szCs w:val="24"/>
        </w:rPr>
        <w:t>378.2 НК (</w:t>
      </w:r>
      <w:r w:rsidRPr="00CC066D">
        <w:rPr>
          <w:rFonts w:ascii="Times New Roman" w:hAnsi="Times New Roman" w:cs="Times New Roman"/>
          <w:color w:val="auto"/>
          <w:sz w:val="24"/>
          <w:szCs w:val="24"/>
        </w:rPr>
        <w:t>территориальной комисси</w:t>
      </w:r>
      <w:r>
        <w:rPr>
          <w:rFonts w:ascii="Times New Roman" w:hAnsi="Times New Roman" w:cs="Times New Roman"/>
          <w:color w:val="auto"/>
          <w:sz w:val="24"/>
          <w:szCs w:val="24"/>
        </w:rPr>
        <w:t>ей обследовано 207 объектов недвижимости</w:t>
      </w:r>
      <w:r w:rsidRPr="00CC066D">
        <w:rPr>
          <w:rFonts w:ascii="Times New Roman" w:hAnsi="Times New Roman" w:cs="Times New Roman"/>
          <w:color w:val="auto"/>
          <w:sz w:val="24"/>
          <w:szCs w:val="24"/>
        </w:rPr>
        <w:t xml:space="preserve">); </w:t>
      </w:r>
    </w:p>
    <w:p w14:paraId="11C821F7" w14:textId="77777777" w:rsidR="00562B56" w:rsidRPr="004A352B" w:rsidRDefault="00562B56" w:rsidP="00562B56">
      <w:pPr>
        <w:pStyle w:val="11"/>
        <w:ind w:firstLine="425"/>
        <w:rPr>
          <w:rFonts w:ascii="Times New Roman" w:hAnsi="Times New Roman" w:cs="Times New Roman"/>
          <w:color w:val="auto"/>
          <w:sz w:val="24"/>
          <w:szCs w:val="24"/>
        </w:rPr>
      </w:pPr>
      <w:r w:rsidRPr="00CC066D">
        <w:rPr>
          <w:rFonts w:ascii="Times New Roman" w:hAnsi="Times New Roman" w:cs="Times New Roman"/>
          <w:color w:val="auto"/>
          <w:sz w:val="24"/>
          <w:szCs w:val="24"/>
        </w:rPr>
        <w:t>- мероприятия в рамках муниципального земельного контроля.</w:t>
      </w:r>
    </w:p>
    <w:p w14:paraId="45CBCC8F" w14:textId="77777777" w:rsidR="00562B56" w:rsidRDefault="00562B56" w:rsidP="00562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735CE5" w14:textId="77777777" w:rsidR="00562B56" w:rsidRDefault="00562B56" w:rsidP="00562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01.01.2024 г. в соответствии </w:t>
      </w:r>
      <w:r w:rsidRPr="00C348A8">
        <w:rPr>
          <w:rFonts w:ascii="Times New Roman" w:hAnsi="Times New Roman" w:cs="Times New Roman"/>
          <w:sz w:val="24"/>
          <w:szCs w:val="24"/>
        </w:rPr>
        <w:t xml:space="preserve">со ст. 396 НК </w:t>
      </w:r>
      <w:r w:rsidRPr="00CC066D">
        <w:rPr>
          <w:rFonts w:ascii="Times New Roman" w:hAnsi="Times New Roman" w:cs="Times New Roman"/>
          <w:sz w:val="24"/>
          <w:szCs w:val="24"/>
        </w:rPr>
        <w:t>РФ органы муниципального земельного контроля обязаны сообщать в налоговый орган по субъекту РФ сведения о выявленных нарушениях использования земельных участков</w:t>
      </w:r>
      <w:r w:rsidRPr="00CC066D">
        <w:rPr>
          <w:rFonts w:ascii="Times New Roman" w:eastAsia="Calibri" w:hAnsi="Times New Roman" w:cs="Times New Roman"/>
          <w:sz w:val="24"/>
          <w:szCs w:val="24"/>
        </w:rPr>
        <w:t>, исчисление суммы налога (суммы авансового платежа по налогу) в отношении таких земельных участков производится по налоговой ставке 1,5%.</w:t>
      </w:r>
    </w:p>
    <w:p w14:paraId="02BF99F5" w14:textId="77777777" w:rsidR="00562B56" w:rsidRPr="00C348A8" w:rsidRDefault="00562B56" w:rsidP="00562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КСП совместно со </w:t>
      </w:r>
      <w:r w:rsidRPr="007C66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специалистом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города Обнинска</w:t>
      </w:r>
      <w:r w:rsidRPr="007C66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уполномоченным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осуществление муниципального </w:t>
      </w:r>
      <w:r w:rsidRPr="007C66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земельного контроля, осуществлен осмотр земельных участков и объектов недвижимости, расположенных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7 </w:t>
      </w:r>
      <w:r w:rsidRPr="00DB7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земельных участк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ах,</w:t>
      </w:r>
      <w:r w:rsidRPr="00C348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которого </w:t>
      </w:r>
      <w:r w:rsidRPr="00C348A8">
        <w:rPr>
          <w:rFonts w:ascii="Times New Roman" w:hAnsi="Times New Roman" w:cs="Times New Roman"/>
          <w:sz w:val="24"/>
          <w:szCs w:val="24"/>
        </w:rPr>
        <w:t>установлены признаки использования земельных участков и объектов капитального строительства не в соответствии с видом разрешенного использования земельных участков и назначением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81FA8A" w14:textId="77777777" w:rsidR="00562B56" w:rsidRDefault="00562B56" w:rsidP="00562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8A8">
        <w:rPr>
          <w:rFonts w:ascii="Times New Roman" w:hAnsi="Times New Roman" w:cs="Times New Roman"/>
          <w:sz w:val="24"/>
          <w:szCs w:val="24"/>
        </w:rPr>
        <w:t xml:space="preserve">При исчислении земельного налога с учетом фактического использования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со ст. 396 НК РФ </w:t>
      </w:r>
      <w:r w:rsidRPr="00C348A8">
        <w:rPr>
          <w:rFonts w:ascii="Times New Roman" w:hAnsi="Times New Roman" w:cs="Times New Roman"/>
          <w:sz w:val="24"/>
          <w:szCs w:val="24"/>
        </w:rPr>
        <w:t>сумма исчисленного земельного налога по обследованны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348A8">
        <w:rPr>
          <w:rFonts w:ascii="Times New Roman" w:hAnsi="Times New Roman" w:cs="Times New Roman"/>
          <w:sz w:val="24"/>
          <w:szCs w:val="24"/>
        </w:rPr>
        <w:t xml:space="preserve"> земельны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348A8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ам, используемым с нарушением,</w:t>
      </w:r>
      <w:r w:rsidRPr="00C348A8">
        <w:rPr>
          <w:rFonts w:ascii="Times New Roman" w:hAnsi="Times New Roman" w:cs="Times New Roman"/>
          <w:sz w:val="24"/>
          <w:szCs w:val="24"/>
        </w:rPr>
        <w:t xml:space="preserve"> увеличится в 10 раз. Расчетная сумма недопоступления доходов по земельному налогу с физических лиц в бюджет города за год по </w:t>
      </w:r>
      <w:r>
        <w:rPr>
          <w:rFonts w:ascii="Times New Roman" w:hAnsi="Times New Roman" w:cs="Times New Roman"/>
          <w:sz w:val="24"/>
          <w:szCs w:val="24"/>
        </w:rPr>
        <w:t>обследованным</w:t>
      </w:r>
      <w:r w:rsidRPr="00C348A8">
        <w:rPr>
          <w:rFonts w:ascii="Times New Roman" w:hAnsi="Times New Roman" w:cs="Times New Roman"/>
          <w:sz w:val="24"/>
          <w:szCs w:val="24"/>
        </w:rPr>
        <w:t xml:space="preserve"> земельным участкам </w:t>
      </w:r>
      <w:r>
        <w:rPr>
          <w:rFonts w:ascii="Times New Roman" w:hAnsi="Times New Roman" w:cs="Times New Roman"/>
          <w:sz w:val="24"/>
          <w:szCs w:val="24"/>
        </w:rPr>
        <w:t>составила</w:t>
      </w:r>
      <w:r w:rsidRPr="00C348A8">
        <w:rPr>
          <w:rFonts w:ascii="Times New Roman" w:hAnsi="Times New Roman" w:cs="Times New Roman"/>
          <w:sz w:val="24"/>
          <w:szCs w:val="24"/>
        </w:rPr>
        <w:t xml:space="preserve"> 175,3 тыс. рублей.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752BE5" w14:textId="77777777" w:rsidR="00562B56" w:rsidRPr="00113EC8" w:rsidRDefault="00562B56" w:rsidP="00562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EC8">
        <w:rPr>
          <w:rFonts w:ascii="Times New Roman" w:hAnsi="Times New Roman" w:cs="Times New Roman"/>
          <w:sz w:val="24"/>
          <w:szCs w:val="24"/>
        </w:rPr>
        <w:t>По результатам экспертно-аналитического мероприятия Палатой было, в частности, предложено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C348A8">
        <w:rPr>
          <w:rFonts w:ascii="Times New Roman" w:hAnsi="Times New Roman" w:cs="Times New Roman"/>
          <w:sz w:val="24"/>
          <w:szCs w:val="24"/>
        </w:rPr>
        <w:t>ри реализации положений основных направлений бюджетной и налоговой политики, направленных на рост налоговых поступлений, руководствоваться, в том числе письмом Минфина России от 25.04.2024 № 06-10-10/39164 «О Методических рекомендациях органам исполнительной власти субъектов Российской Федерации и органам местного самоуправления, способствующих увеличению доходной базы бюджетов субъектов Российской Федерации и муниципальных образований».</w:t>
      </w:r>
    </w:p>
    <w:p w14:paraId="6E21BDA8" w14:textId="77777777" w:rsidR="00562B56" w:rsidRDefault="00562B56" w:rsidP="00562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75BFF2" w14:textId="77777777" w:rsidR="00562B56" w:rsidRPr="0065343F" w:rsidRDefault="00562B56" w:rsidP="00562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6DF">
        <w:rPr>
          <w:rFonts w:ascii="Times New Roman" w:hAnsi="Times New Roman" w:cs="Times New Roman"/>
          <w:sz w:val="24"/>
          <w:szCs w:val="24"/>
        </w:rPr>
        <w:t>3.10. В рамках исполнения полномочий контрольно-счетного органа и в соответствии с</w:t>
      </w:r>
      <w:r w:rsidRPr="0065343F">
        <w:rPr>
          <w:rFonts w:ascii="Times New Roman" w:hAnsi="Times New Roman" w:cs="Times New Roman"/>
          <w:sz w:val="24"/>
          <w:szCs w:val="24"/>
        </w:rPr>
        <w:t xml:space="preserve"> Положением «О взаимодействии органов местного самоуправления муниципального образования «Город Обнинск», утвержденным решением Обнинского городского Собрания от 27.09.2011 </w:t>
      </w:r>
      <w:r>
        <w:rPr>
          <w:rFonts w:ascii="Times New Roman" w:hAnsi="Times New Roman" w:cs="Times New Roman"/>
          <w:sz w:val="24"/>
          <w:szCs w:val="24"/>
        </w:rPr>
        <w:t>№ </w:t>
      </w:r>
      <w:r w:rsidRPr="0065343F">
        <w:rPr>
          <w:rFonts w:ascii="Times New Roman" w:hAnsi="Times New Roman" w:cs="Times New Roman"/>
          <w:sz w:val="24"/>
          <w:szCs w:val="24"/>
        </w:rPr>
        <w:t xml:space="preserve">08-24, КСП проведена экспертиза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65343F">
        <w:rPr>
          <w:rFonts w:ascii="Times New Roman" w:hAnsi="Times New Roman" w:cs="Times New Roman"/>
          <w:sz w:val="24"/>
          <w:szCs w:val="24"/>
        </w:rPr>
        <w:t xml:space="preserve"> проектов муниципальных правовых актов, направленных Собранием</w:t>
      </w:r>
      <w:r>
        <w:rPr>
          <w:rFonts w:ascii="Times New Roman" w:hAnsi="Times New Roman" w:cs="Times New Roman"/>
          <w:sz w:val="24"/>
          <w:szCs w:val="24"/>
        </w:rPr>
        <w:t xml:space="preserve"> города Обнинска</w:t>
      </w:r>
      <w:r w:rsidRPr="0065343F">
        <w:rPr>
          <w:rFonts w:ascii="Times New Roman" w:hAnsi="Times New Roman" w:cs="Times New Roman"/>
          <w:sz w:val="24"/>
          <w:szCs w:val="24"/>
        </w:rPr>
        <w:t>.</w:t>
      </w:r>
    </w:p>
    <w:p w14:paraId="035163FC" w14:textId="77777777" w:rsidR="00562B56" w:rsidRPr="0065343F" w:rsidRDefault="00562B56" w:rsidP="00562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экспертизы КСП подготовлены заключения на</w:t>
      </w:r>
      <w:r w:rsidRPr="00906A5C">
        <w:t xml:space="preserve"> </w:t>
      </w:r>
      <w:r w:rsidRPr="00906A5C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906A5C">
        <w:rPr>
          <w:rFonts w:ascii="Times New Roman" w:hAnsi="Times New Roman" w:cs="Times New Roman"/>
          <w:sz w:val="24"/>
          <w:szCs w:val="24"/>
        </w:rPr>
        <w:t xml:space="preserve"> муниципальных правовых актов</w:t>
      </w:r>
      <w:r>
        <w:rPr>
          <w:rFonts w:ascii="Times New Roman" w:hAnsi="Times New Roman" w:cs="Times New Roman"/>
          <w:sz w:val="24"/>
          <w:szCs w:val="24"/>
        </w:rPr>
        <w:t>, содержащие замечания и предложения, которые учитывались при их доработке и принятии.</w:t>
      </w:r>
    </w:p>
    <w:p w14:paraId="64756F72" w14:textId="77777777" w:rsidR="00562B56" w:rsidRDefault="00562B56" w:rsidP="0056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14:paraId="08414B67" w14:textId="77777777" w:rsidR="00562B56" w:rsidRPr="00906A38" w:rsidRDefault="00562B56" w:rsidP="00562B56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color w:val="2A6727"/>
          <w:sz w:val="26"/>
          <w:szCs w:val="26"/>
        </w:rPr>
      </w:pPr>
      <w:r w:rsidRPr="004D7784">
        <w:rPr>
          <w:rFonts w:ascii="Times New Roman" w:hAnsi="Times New Roman" w:cs="Times New Roman"/>
          <w:b/>
          <w:color w:val="2A6727"/>
          <w:sz w:val="26"/>
          <w:szCs w:val="26"/>
        </w:rPr>
        <w:t>Организационная</w:t>
      </w:r>
      <w:r w:rsidRPr="00906A38">
        <w:rPr>
          <w:rFonts w:ascii="Times New Roman" w:hAnsi="Times New Roman" w:cs="Times New Roman"/>
          <w:b/>
          <w:color w:val="2A6727"/>
          <w:sz w:val="26"/>
          <w:szCs w:val="26"/>
        </w:rPr>
        <w:t xml:space="preserve"> и методическая </w:t>
      </w:r>
      <w:r w:rsidRPr="004D7784">
        <w:rPr>
          <w:rFonts w:ascii="Times New Roman" w:hAnsi="Times New Roman" w:cs="Times New Roman"/>
          <w:b/>
          <w:color w:val="2A6727"/>
          <w:sz w:val="26"/>
          <w:szCs w:val="26"/>
        </w:rPr>
        <w:t>деятельность</w:t>
      </w:r>
    </w:p>
    <w:p w14:paraId="4BF65083" w14:textId="77777777" w:rsidR="00562B56" w:rsidRPr="00F73896" w:rsidRDefault="00562B56" w:rsidP="00562B56">
      <w:pPr>
        <w:pStyle w:val="a7"/>
        <w:ind w:left="1069"/>
        <w:rPr>
          <w:rFonts w:ascii="Times New Roman" w:hAnsi="Times New Roman" w:cs="Times New Roman"/>
          <w:sz w:val="24"/>
          <w:szCs w:val="24"/>
        </w:rPr>
      </w:pPr>
    </w:p>
    <w:p w14:paraId="437B7DDE" w14:textId="77777777" w:rsidR="00562B56" w:rsidRPr="0065343F" w:rsidRDefault="00562B56" w:rsidP="00562B5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4.1. </w:t>
      </w:r>
      <w:r w:rsidRPr="00653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653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организационная работа КСП была направлена на повышение эффективности и качества контрольной и экспертно-аналитической работы.</w:t>
      </w:r>
    </w:p>
    <w:p w14:paraId="7398840A" w14:textId="77777777" w:rsidR="00562B56" w:rsidRPr="0065343F" w:rsidRDefault="00562B56" w:rsidP="0056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3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заседаниях Коллегией КСП рассматривались вопросы планирования деятельности, результаты работы КСП, обсуждались вопросы внутренней организации работы.</w:t>
      </w:r>
    </w:p>
    <w:p w14:paraId="3D0E5E08" w14:textId="77777777" w:rsidR="00562B56" w:rsidRPr="0065343F" w:rsidRDefault="00562B56" w:rsidP="0056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Палатой была продолжена работа по реализации в своей деятельности норм Федерального закона № 6-ФЗ в части стандартизации деятельности.</w:t>
      </w:r>
    </w:p>
    <w:p w14:paraId="6B3A300C" w14:textId="77777777" w:rsidR="00562B56" w:rsidRDefault="00562B56" w:rsidP="0056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>По состоянию на 1 января 202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6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года Палатой разработано и утверждено 15 стандартов, в том числе 12 стандартов в рамках деятельности КСП по муниципальному внешнему финансовому контролю, 3 стандарта организации деятельности Палаты. </w:t>
      </w:r>
    </w:p>
    <w:p w14:paraId="32521FB7" w14:textId="77777777" w:rsidR="00562B56" w:rsidRPr="0065343F" w:rsidRDefault="00562B56" w:rsidP="0056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4356B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 2025 году КСП было продолжено изучение практики деятельности контрольно-счетных органов субъектов РФ с целью внедрения стандарта риск-ориентированного подхода в контрольной и экспертно-аналитической деятельности Палаты.</w:t>
      </w:r>
      <w:r w:rsidRPr="00653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39783ED" w14:textId="77777777" w:rsidR="00562B56" w:rsidRPr="0065343F" w:rsidRDefault="00562B56" w:rsidP="0056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В целях реализации Федерального закона от 09.02.2009 № 8-ФЗ «Об обеспечении доступа к информации о деятельности государственных органов и органов местного самоуправления», а так же в целях исполнения требований об обеспечении доступа к информации о деятельности контрольно-счетных органов, установленных ст. 19 Федерального закона № 6-ФЗ, Палата размещает годовые планы работы КСП, ежеквартальную информацию и ежегодные отчеты о деятельности Палаты, стандарты внешнего муниципального финансового контроля на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странице КСП 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официально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го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сайт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Обнинского городского Собрания http://www.gs-obninsk.ru.</w:t>
      </w:r>
    </w:p>
    <w:p w14:paraId="36ACE9C6" w14:textId="77777777" w:rsidR="00562B56" w:rsidRPr="0065343F" w:rsidRDefault="00562B56" w:rsidP="0056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В соответствии со ст.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20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Положения о КСП информация о результатах проведенных контрольных и экспертно-аналитических мероприятиях ежеквартально представлялась Собранию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города Обнинска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и Администрации города Обнинска, а также размещалась в сети Интернет. </w:t>
      </w:r>
    </w:p>
    <w:p w14:paraId="22912022" w14:textId="77777777" w:rsidR="00562B56" w:rsidRPr="0065343F" w:rsidRDefault="00562B56" w:rsidP="0056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Отчеты по результатам контрольных и экспертно-аналитических мероприятий КСП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в течение года регулярно 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рассматривались на заседаниях профильных комитетов Собрания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города Обнинска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</w:t>
      </w:r>
    </w:p>
    <w:p w14:paraId="348A6B9B" w14:textId="77777777" w:rsidR="00562B56" w:rsidRDefault="00562B56" w:rsidP="0056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2025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году в соответствии с требованиями Федерального закона от 09.02.2009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№ 8-ФЗ «Об обеспечении доступа к информации о деятельности государственных органов и органов местного самоуправления» ведутся официальные страницы КСП в социальных сетях: «ВКонтакте» и «Одноклассники», а также официальный канал в мессенджер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ах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Telegram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ru-RU"/>
        </w:rPr>
        <w:t>MAX</w:t>
      </w:r>
      <w:r w:rsidRPr="0065343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. </w:t>
      </w:r>
    </w:p>
    <w:p w14:paraId="3D4ED613" w14:textId="77777777" w:rsidR="00562B56" w:rsidRDefault="00562B56" w:rsidP="0056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 202</w:t>
      </w:r>
      <w:r w:rsidRPr="007D2333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году размещено </w:t>
      </w:r>
      <w:r w:rsidRPr="007D2333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164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информационных сообщения о деятельности КСП.</w:t>
      </w:r>
    </w:p>
    <w:p w14:paraId="14777CA8" w14:textId="77777777" w:rsidR="00562B56" w:rsidRPr="0065343F" w:rsidRDefault="00562B56" w:rsidP="0056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14:paraId="46F60622" w14:textId="77777777" w:rsidR="00562B56" w:rsidRPr="004D7784" w:rsidRDefault="00562B56" w:rsidP="00562B5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845411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  <w:r w:rsidRPr="004D7784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В рамках исполнения полномочий по противодействию коррупции в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2025</w:t>
      </w:r>
      <w:r w:rsidRPr="004D7784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году Председатель КСП принимал участие в заседаниях межведомственной рабочей группы по противодействию коррупции, созданной при Прокуратуре города Обнинска, а также в заседаниях экспертного совета Собрания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города Обнинска </w:t>
      </w:r>
      <w:r w:rsidRPr="004D7784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 проведению антикоррупционной экспертизы проектов нормативных правовых актов.</w:t>
      </w:r>
    </w:p>
    <w:p w14:paraId="67561CAB" w14:textId="77777777" w:rsidR="00562B56" w:rsidRDefault="00562B56" w:rsidP="00562B5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При проведении всех контрольных и экспертно-аналитических мероприятий Палатой осуществлялся анализ возможного наличия признаков коррупциогенных факторов и конфликта интересов в деятельности объектов проверок и их должностных лиц, в муниципальных нормативных правовых актах и их проектах, результаты которого отражались в документах по результатам контрольных и экспертно-аналитических мероприятий.</w:t>
      </w:r>
    </w:p>
    <w:p w14:paraId="6D96AF8C" w14:textId="77777777" w:rsidR="00562B56" w:rsidRDefault="00562B56" w:rsidP="00562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проведения 3 контрольных мероприятий Палатой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РФ от 26.02.2010 № 96 (далее – Методика), в 10 случаях было выявлено  наличие признаков коррупциогенных факторов, в том числе:</w:t>
      </w:r>
    </w:p>
    <w:p w14:paraId="48D98F7C" w14:textId="77777777" w:rsidR="00562B56" w:rsidRDefault="00562B56" w:rsidP="00562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3 - широта дискреционных полномочий – отсутствие или неопределенность сроков, условий или оснований принятия решения, наличие дублирующих полномочий органа местного самоуправления или организации (их должностных лиц) (подп. «а» п. 3 Методики);</w:t>
      </w:r>
    </w:p>
    <w:p w14:paraId="5D626B2D" w14:textId="77777777" w:rsidR="00562B56" w:rsidRDefault="00562B56" w:rsidP="00562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1 - определение компетенции по формуле «вправе» – диспозитивное установление возможности совершения органами местного самоуправления или организациями (их должностными лицами) действий в отношении граждан и организаций (подп. «б» п. 3 Методики);</w:t>
      </w:r>
    </w:p>
    <w:p w14:paraId="23B6831A" w14:textId="77777777" w:rsidR="00562B56" w:rsidRDefault="00562B56" w:rsidP="00562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3 - выборочное изменение объема прав – возможность необоснованного установления исключений из общего порядка для граждан и организаций по усмотрению органов местного самоуправления или организаций (их должностных лиц) (подп. «в» п. 3 Методики);</w:t>
      </w:r>
    </w:p>
    <w:p w14:paraId="2BD0498C" w14:textId="77777777" w:rsidR="00562B56" w:rsidRDefault="00562B56" w:rsidP="00562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1 - чрезмерная свобода подзаконного нормотворчества – наличие бланкетных и отсылочных норм, приводящее к принятию подзаконных актов, вторгающихся в компетенцию органа местного самоуправления или организации, принявшего первоначальный нормативный правовой акт (подп. «г» п. 3 Методики);</w:t>
      </w:r>
    </w:p>
    <w:p w14:paraId="70A2562D" w14:textId="77777777" w:rsidR="00562B56" w:rsidRDefault="00562B56" w:rsidP="00562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2 - отсутствие или неполнота административных процедур – отсутствие порядка совершения органами местного самоуправления или организациями (их должностными лицами) определенных действий либо одного из элементов такого порядка (подп. «ж» п. 3 Методики).</w:t>
      </w:r>
    </w:p>
    <w:p w14:paraId="1ED0DFC8" w14:textId="77777777" w:rsidR="00562B56" w:rsidRDefault="00562B56" w:rsidP="00562B5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Кроме того, в соответствии с Планом деятельности КСП по противодействию коррупции на 2025 - 2026 годы КСП в 2025 году был реализован комплекс мероприятий, обеспечивающих согласованное использование правовых, образовательных, воспитательных, организационных, профилактических и иных мер, направленных на выявление, предупреждение и пресечение коррупции и конфликта интересов при прохождении муниципальной службы в КСП. </w:t>
      </w:r>
    </w:p>
    <w:p w14:paraId="4E25B0A1" w14:textId="77777777" w:rsidR="00562B56" w:rsidRPr="0065343F" w:rsidRDefault="00562B56" w:rsidP="00562B5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14:paraId="16F5FA71" w14:textId="77777777" w:rsidR="00562B56" w:rsidRPr="004D7784" w:rsidRDefault="00562B56" w:rsidP="00562B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4.3. </w:t>
      </w:r>
      <w:r w:rsidRPr="004D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 в предыдущие годы,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4D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КСП принимала активное участие в работе Союза муниципальных контрольно-счетных органов (далее – Союз МКСО) и Ассоциации контрольно-счетных органов Калужской области (далее – АКСО Калужской области).</w:t>
      </w:r>
    </w:p>
    <w:p w14:paraId="75956E61" w14:textId="77777777" w:rsidR="00562B56" w:rsidRDefault="00562B56" w:rsidP="00562B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2025</w:t>
      </w:r>
      <w:r w:rsidRPr="00653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обмена опытом сотрудники </w:t>
      </w:r>
      <w:r w:rsidRPr="0065343F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прин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има</w:t>
      </w:r>
      <w:r w:rsidRPr="0065343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участие в работе </w:t>
      </w:r>
      <w:r w:rsidRPr="008B04F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круглых</w:t>
      </w:r>
      <w:r w:rsidRPr="00653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 и 18 обуч</w:t>
      </w:r>
      <w:r w:rsidRPr="0065343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ющих вебинарах</w:t>
      </w:r>
      <w:r w:rsidRPr="008B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семинарах, проводимых Союзом МКСО и Счетной палатой РФ в формате видеоконференции.</w:t>
      </w:r>
      <w:r w:rsidRPr="00653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0B87B53" w14:textId="77777777" w:rsidR="00562B56" w:rsidRDefault="00562B56" w:rsidP="00562B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КСП участвовал в работе Президиума АКСО Калужской области.</w:t>
      </w:r>
    </w:p>
    <w:p w14:paraId="405FCAD6" w14:textId="77777777" w:rsidR="00562B56" w:rsidRPr="006D3935" w:rsidRDefault="00562B56" w:rsidP="00562B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и заместитель председателя КСП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июне 2025 года</w:t>
      </w:r>
      <w:r w:rsidRPr="006D3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приняли участие в работе XV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6D3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конференции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АКСО</w:t>
      </w:r>
      <w:r w:rsidRPr="006D3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Калужской области.</w:t>
      </w:r>
    </w:p>
    <w:p w14:paraId="35F5499D" w14:textId="77777777" w:rsidR="00562B56" w:rsidRPr="0065343F" w:rsidRDefault="00562B56" w:rsidP="00562B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декабре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653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53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редседатель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заместитель председателя </w:t>
      </w:r>
      <w:r w:rsidRPr="0065343F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 принял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3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расширенном заседании коллегии региональной Контрольно-счетной палаты с участием представителей муниципальных контрольно-счетных органов Калужской области, на котором, в частности, были подведены итоги параллельных и совместных контрольных мероприятий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Контрольно-счетной палаты</w:t>
      </w:r>
      <w:r w:rsidRPr="00653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Калужской области с муниципальными контрольно-счетными органами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653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представлена информация о плане работы Контрольно-счетной палаты Калужской области на 202</w:t>
      </w:r>
      <w:r w:rsidRPr="007D233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</w:t>
      </w:r>
      <w:r w:rsidRPr="00653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  <w:r w:rsidRPr="0044356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АКСО Калужской области на 2026 год.</w:t>
      </w:r>
    </w:p>
    <w:p w14:paraId="1E15D11F" w14:textId="77777777" w:rsidR="00562B56" w:rsidRDefault="00562B56" w:rsidP="00562B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участия в работе Союза МКСО и АКСО Калужской области была подготовлена информация о показателях деятельности КСП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D21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</w:t>
      </w:r>
    </w:p>
    <w:p w14:paraId="460457DF" w14:textId="77777777" w:rsidR="00562B56" w:rsidRDefault="00562B56" w:rsidP="00562B5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ABD609" w14:textId="77777777" w:rsidR="00562B56" w:rsidRDefault="00562B56" w:rsidP="00562B56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2A6727"/>
          <w:sz w:val="26"/>
          <w:szCs w:val="26"/>
        </w:rPr>
      </w:pPr>
      <w:r>
        <w:rPr>
          <w:rFonts w:ascii="Times New Roman" w:hAnsi="Times New Roman" w:cs="Times New Roman"/>
          <w:b/>
          <w:color w:val="2A6727"/>
          <w:sz w:val="26"/>
          <w:szCs w:val="26"/>
        </w:rPr>
        <w:t>Цель, о</w:t>
      </w:r>
      <w:r w:rsidRPr="004D7784">
        <w:rPr>
          <w:rFonts w:ascii="Times New Roman" w:hAnsi="Times New Roman" w:cs="Times New Roman"/>
          <w:b/>
          <w:color w:val="2A6727"/>
          <w:sz w:val="26"/>
          <w:szCs w:val="26"/>
        </w:rPr>
        <w:t xml:space="preserve">сновные задачи деятельности </w:t>
      </w:r>
      <w:r>
        <w:rPr>
          <w:rFonts w:ascii="Times New Roman" w:hAnsi="Times New Roman" w:cs="Times New Roman"/>
          <w:b/>
          <w:color w:val="2A6727"/>
          <w:sz w:val="26"/>
          <w:szCs w:val="26"/>
        </w:rPr>
        <w:t xml:space="preserve">и направления развития </w:t>
      </w:r>
      <w:r>
        <w:rPr>
          <w:rFonts w:ascii="Times New Roman" w:hAnsi="Times New Roman" w:cs="Times New Roman"/>
          <w:b/>
          <w:color w:val="2A6727"/>
          <w:sz w:val="26"/>
          <w:szCs w:val="26"/>
        </w:rPr>
        <w:br/>
        <w:t xml:space="preserve">       деятельности </w:t>
      </w:r>
      <w:r w:rsidRPr="004D7784">
        <w:rPr>
          <w:rFonts w:ascii="Times New Roman" w:hAnsi="Times New Roman" w:cs="Times New Roman"/>
          <w:b/>
          <w:color w:val="2A6727"/>
          <w:sz w:val="26"/>
          <w:szCs w:val="26"/>
        </w:rPr>
        <w:t>КСП на 202</w:t>
      </w:r>
      <w:r>
        <w:rPr>
          <w:rFonts w:ascii="Times New Roman" w:hAnsi="Times New Roman" w:cs="Times New Roman"/>
          <w:b/>
          <w:color w:val="2A6727"/>
          <w:sz w:val="26"/>
          <w:szCs w:val="26"/>
        </w:rPr>
        <w:t>6</w:t>
      </w:r>
      <w:r w:rsidRPr="004D7784">
        <w:rPr>
          <w:rFonts w:ascii="Times New Roman" w:hAnsi="Times New Roman" w:cs="Times New Roman"/>
          <w:b/>
          <w:color w:val="2A6727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b/>
          <w:color w:val="2A6727"/>
          <w:sz w:val="26"/>
          <w:szCs w:val="26"/>
        </w:rPr>
        <w:t xml:space="preserve"> и перспективу</w:t>
      </w:r>
    </w:p>
    <w:p w14:paraId="6E3EF0CE" w14:textId="77777777" w:rsidR="00562B56" w:rsidRPr="00883BB1" w:rsidRDefault="00562B56" w:rsidP="00562B56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2A6727"/>
          <w:sz w:val="24"/>
          <w:szCs w:val="24"/>
        </w:rPr>
      </w:pPr>
    </w:p>
    <w:p w14:paraId="7FA9115C" w14:textId="77777777" w:rsidR="00562B56" w:rsidRPr="007C403E" w:rsidRDefault="00562B56" w:rsidP="00562B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В соответствии со ст. 11 Положения о КСП приказом Палаты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26</w:t>
      </w: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декабря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2025</w:t>
      </w: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года был утве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ржден План работы Палаты на 2026</w:t>
      </w: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год, который размещен на официальном сайте Собрания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города Обнинска </w:t>
      </w: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http://www.gs-obninsk.ru.</w:t>
      </w:r>
    </w:p>
    <w:p w14:paraId="140BE073" w14:textId="77777777" w:rsidR="00562B56" w:rsidRPr="007C403E" w:rsidRDefault="00562B56" w:rsidP="00562B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Стратегической целью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</w:t>
      </w: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алаты было и </w:t>
      </w:r>
      <w:r w:rsidRPr="000E61E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остается способствование решению</w:t>
      </w: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муниципальном </w:t>
      </w: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уровне поставленных Президентом РФ задач социально-экономического развития,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а также</w:t>
      </w: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повышению эффективности формирования и использования муниципальных ресурсов и противодействию нарушениям при управлении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и</w:t>
      </w: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распоряжении </w:t>
      </w: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муниципальными ресурсами.</w:t>
      </w:r>
    </w:p>
    <w:p w14:paraId="26AE5027" w14:textId="77777777" w:rsidR="00562B56" w:rsidRPr="007C403E" w:rsidRDefault="00562B56" w:rsidP="00562B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>В рамках реализации полномочий, установленных Федеральным законом № 6-ФЗ, основными задачами деятельности КСП в 202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6</w:t>
      </w: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году будут являться:</w:t>
      </w:r>
    </w:p>
    <w:p w14:paraId="0845C0BD" w14:textId="77777777" w:rsidR="00562B56" w:rsidRPr="007C403E" w:rsidRDefault="00562B56" w:rsidP="00562B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организация и осуществление предварительного, текущего и последующего контроля за исполнением бюджета города Обнинска, включая внешнюю проверку годового отчета об исполнении бюджета города;</w:t>
      </w:r>
    </w:p>
    <w:p w14:paraId="76FFBA98" w14:textId="77777777" w:rsidR="00562B56" w:rsidRPr="007C403E" w:rsidRDefault="00562B56" w:rsidP="00562B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обеспечение и дальнейшее развитие аудита эффективности использования бюджетных средств и иных ресурсов, полученных объектами аудита для достижения запланированных целей и выполнения возложенных функций в рамках реализации муниципальных программ города Обнинска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и непрограммных мероприятий</w:t>
      </w: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; </w:t>
      </w:r>
    </w:p>
    <w:p w14:paraId="4BA6524D" w14:textId="77777777" w:rsidR="00562B56" w:rsidRPr="007C403E" w:rsidRDefault="00562B56" w:rsidP="00562B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14:paraId="46B04231" w14:textId="77777777" w:rsidR="00562B56" w:rsidRPr="007C403E" w:rsidRDefault="00562B56" w:rsidP="00562B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мониторинг реализации и достижения показателей национальных проектов (программ) на территории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города Обнинска;</w:t>
      </w:r>
    </w:p>
    <w:p w14:paraId="72E8330E" w14:textId="77777777" w:rsidR="00562B56" w:rsidRPr="007C403E" w:rsidRDefault="00562B56" w:rsidP="00562B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организация и осуществление контроля эффективности и соблюдения установленного порядка управления и распоряжения муниципальной собственностью;</w:t>
      </w:r>
    </w:p>
    <w:p w14:paraId="50FB9772" w14:textId="77777777" w:rsidR="00562B56" w:rsidRPr="007C403E" w:rsidRDefault="00562B56" w:rsidP="00562B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обеспечение и дальнейшее развитие аудита закупок для муниципальных нужд города Обнинска.</w:t>
      </w:r>
    </w:p>
    <w:p w14:paraId="5EEDD7E3" w14:textId="77777777" w:rsidR="00562B56" w:rsidRPr="007C403E" w:rsidRDefault="00562B56" w:rsidP="00562B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Основными направлениями развития Палаты на ближайшую перспективу будут являться:</w:t>
      </w:r>
    </w:p>
    <w:p w14:paraId="658019BF" w14:textId="77777777" w:rsidR="00562B56" w:rsidRPr="007C403E" w:rsidRDefault="00562B56" w:rsidP="00562B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расширение практики применения</w:t>
      </w: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риск-ориентированного подхода при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осуществлении</w:t>
      </w: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контрольной и экспертно-аналитической деятельности;</w:t>
      </w:r>
    </w:p>
    <w:p w14:paraId="7E689F02" w14:textId="77777777" w:rsidR="00562B56" w:rsidRPr="007C403E" w:rsidRDefault="00562B56" w:rsidP="00562B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увеличение доли экспертно-аналитических мероприятий и аудита закупок в деятельности Палаты;</w:t>
      </w:r>
    </w:p>
    <w:p w14:paraId="0EA8FBC7" w14:textId="77777777" w:rsidR="00562B56" w:rsidRPr="007C403E" w:rsidRDefault="00562B56" w:rsidP="00562B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совершенствование системы оценки полноты реализации предложений и рекомендаций, формируемых по результатам проведенных мероприятий;</w:t>
      </w:r>
    </w:p>
    <w:p w14:paraId="03CFB213" w14:textId="77777777" w:rsidR="00562B56" w:rsidRPr="007C403E" w:rsidRDefault="00562B56" w:rsidP="00562B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предоставление аргументированной и доказательной аналитической поддержки для принятия необходимых управленческих решений органами местного самоуправления города; </w:t>
      </w:r>
    </w:p>
    <w:p w14:paraId="51EF3FE5" w14:textId="77777777" w:rsidR="00562B56" w:rsidRPr="007C403E" w:rsidRDefault="00562B56" w:rsidP="00562B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 </w:t>
      </w: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развитие практики проведения экспертизы проектов муниципальных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нормативных правовых актов</w:t>
      </w: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в целях выявления и указания на риски негативных социально-экономических, правовых и финансовых последствий, в том числе, косвенных, обусловленных положениями указанных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нормативных правовых актов</w:t>
      </w: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, с учетом  результатов контрольных и экспертно-аналитических мероприятий.</w:t>
      </w:r>
    </w:p>
    <w:p w14:paraId="6273087C" w14:textId="77777777" w:rsidR="00562B56" w:rsidRPr="007C403E" w:rsidRDefault="00562B56" w:rsidP="00562B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В целях повышения текущего уровня институциональной зрелости, с учетом уровня решаемых и новых задач на перспективу Палата ориентирована также на ряд общесистемных направлений развития: </w:t>
      </w:r>
    </w:p>
    <w:p w14:paraId="72196425" w14:textId="77777777" w:rsidR="00562B56" w:rsidRPr="007C403E" w:rsidRDefault="00562B56" w:rsidP="00562B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совершенствование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своей</w:t>
      </w: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организационно-штатной структуры и развитие возможностей для непрерывного обучения и профессионального роста сотрудников, расширения их компетенций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;</w:t>
      </w:r>
    </w:p>
    <w:p w14:paraId="5323DD3F" w14:textId="77777777" w:rsidR="00562B56" w:rsidRPr="007C403E" w:rsidRDefault="00562B56" w:rsidP="00562B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цифровизацию деятельности, основанную на применении современных цифровых технологий, аналитических инструментов и методов для увеличения покрытия и глубины анализа проверяемых вопросов деятельности объектов контроля (аудита)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;</w:t>
      </w:r>
    </w:p>
    <w:p w14:paraId="21EB92D4" w14:textId="77777777" w:rsidR="00562B56" w:rsidRPr="007C403E" w:rsidRDefault="00562B56" w:rsidP="00562B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внедрение в аудит доказательного подхода на основе использования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новых</w:t>
      </w: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методов анализа данных для оценки результатов и эффект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</w:t>
      </w: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реализации мер и использования ресурсов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;</w:t>
      </w:r>
    </w:p>
    <w:p w14:paraId="656C99CB" w14:textId="77777777" w:rsidR="00562B56" w:rsidRDefault="00562B56" w:rsidP="00562B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совершенствование</w:t>
      </w:r>
      <w:r w:rsidRPr="007C4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уровня и методологии взаимодействия Палаты с представительным и исполнительным ОМС города, правоохранительными, государственными органами Калужской области, направленного на повышение полноты применения и конечной ценности результатов деятельности Палаты.   </w:t>
      </w:r>
    </w:p>
    <w:p w14:paraId="1254E53A" w14:textId="77777777" w:rsidR="00562B56" w:rsidRDefault="00562B56" w:rsidP="00562B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14:paraId="5DEAABCC" w14:textId="77777777" w:rsidR="00562B56" w:rsidRDefault="00562B56" w:rsidP="00562B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CDA720" w14:textId="77777777" w:rsidR="00562B56" w:rsidRDefault="00562B56" w:rsidP="00562B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75EA50" w14:textId="02912D54" w:rsidR="00562B56" w:rsidRPr="00562B56" w:rsidRDefault="00562B56" w:rsidP="00562B56">
      <w:pPr>
        <w:rPr>
          <w:b/>
          <w:bCs/>
        </w:rPr>
      </w:pPr>
      <w:r w:rsidRPr="0065343F">
        <w:rPr>
          <w:rFonts w:ascii="Times New Roman" w:hAnsi="Times New Roman" w:cs="Times New Roman"/>
          <w:b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562B56" w:rsidRPr="00562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52E7F"/>
    <w:multiLevelType w:val="multilevel"/>
    <w:tmpl w:val="B10C903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2A6727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2125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56"/>
    <w:rsid w:val="00562B56"/>
    <w:rsid w:val="006E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5A31"/>
  <w15:chartTrackingRefBased/>
  <w15:docId w15:val="{63E26A1A-9671-49AB-BD9D-ED0C5CC5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B5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62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B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B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2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2B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2B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2B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2B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2B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2B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2B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2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2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2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2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2B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2B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2B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2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2B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2B56"/>
    <w:rPr>
      <w:b/>
      <w:bCs/>
      <w:smallCaps/>
      <w:color w:val="2F5496" w:themeColor="accent1" w:themeShade="BF"/>
      <w:spacing w:val="5"/>
    </w:rPr>
  </w:style>
  <w:style w:type="paragraph" w:customStyle="1" w:styleId="11">
    <w:name w:val="Стиль1"/>
    <w:basedOn w:val="a"/>
    <w:link w:val="12"/>
    <w:qFormat/>
    <w:rsid w:val="00562B56"/>
    <w:pPr>
      <w:pBdr>
        <w:left w:val="single" w:sz="24" w:space="10" w:color="006600"/>
      </w:pBdr>
      <w:spacing w:after="0" w:line="240" w:lineRule="auto"/>
      <w:ind w:left="284"/>
      <w:jc w:val="both"/>
    </w:pPr>
    <w:rPr>
      <w:rFonts w:eastAsia="Times New Roman" w:cstheme="minorHAnsi"/>
      <w:color w:val="57585A"/>
      <w:lang w:eastAsia="ru-RU"/>
    </w:rPr>
  </w:style>
  <w:style w:type="character" w:customStyle="1" w:styleId="12">
    <w:name w:val="Стиль1 Знак"/>
    <w:basedOn w:val="a0"/>
    <w:link w:val="11"/>
    <w:rsid w:val="00562B56"/>
    <w:rPr>
      <w:rFonts w:eastAsia="Times New Roman" w:cstheme="minorHAnsi"/>
      <w:color w:val="57585A"/>
      <w:kern w:val="0"/>
      <w:sz w:val="22"/>
      <w:szCs w:val="22"/>
      <w:lang w:eastAsia="ru-RU"/>
      <w14:ligatures w14:val="none"/>
    </w:rPr>
  </w:style>
  <w:style w:type="table" w:styleId="ac">
    <w:name w:val="Table Grid"/>
    <w:basedOn w:val="a1"/>
    <w:uiPriority w:val="59"/>
    <w:rsid w:val="00562B5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62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62B56"/>
    <w:rPr>
      <w:rFonts w:ascii="Tahoma" w:hAnsi="Tahoma" w:cs="Tahoma"/>
      <w:kern w:val="0"/>
      <w:sz w:val="16"/>
      <w:szCs w:val="16"/>
      <w14:ligatures w14:val="none"/>
    </w:rPr>
  </w:style>
  <w:style w:type="table" w:customStyle="1" w:styleId="13">
    <w:name w:val="Сетка таблицы1"/>
    <w:basedOn w:val="a1"/>
    <w:next w:val="ac"/>
    <w:uiPriority w:val="1"/>
    <w:rsid w:val="00562B5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62B56"/>
    <w:rPr>
      <w:color w:val="0563C1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562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62B56"/>
    <w:rPr>
      <w:kern w:val="0"/>
      <w:sz w:val="22"/>
      <w:szCs w:val="22"/>
      <w14:ligatures w14:val="none"/>
    </w:rPr>
  </w:style>
  <w:style w:type="paragraph" w:styleId="af2">
    <w:name w:val="footer"/>
    <w:basedOn w:val="a"/>
    <w:link w:val="af3"/>
    <w:uiPriority w:val="99"/>
    <w:unhideWhenUsed/>
    <w:rsid w:val="00562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62B56"/>
    <w:rPr>
      <w:kern w:val="0"/>
      <w:sz w:val="22"/>
      <w:szCs w:val="22"/>
      <w14:ligatures w14:val="none"/>
    </w:rPr>
  </w:style>
  <w:style w:type="paragraph" w:styleId="af4">
    <w:name w:val="Normal (Web)"/>
    <w:basedOn w:val="a"/>
    <w:uiPriority w:val="99"/>
    <w:unhideWhenUsed/>
    <w:rsid w:val="00562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806733B860B4822F4CA2552DC0C376622BE61FD06917785BADBD3616AB21B8Q6O9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s-obninsk.ru" TargetMode="External"/><Relationship Id="rId5" Type="http://schemas.openxmlformats.org/officeDocument/2006/relationships/hyperlink" Target="consultantplus://offline/ref=EEEAB404636AE5A22BC2944216608D659115B409F60083ADAADE693ED4501808494F4A480BB9D0714C4DEC795Aj8W1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10956</Words>
  <Characters>62451</Characters>
  <Application>Microsoft Office Word</Application>
  <DocSecurity>0</DocSecurity>
  <Lines>520</Lines>
  <Paragraphs>146</Paragraphs>
  <ScaleCrop>false</ScaleCrop>
  <Company/>
  <LinksUpToDate>false</LinksUpToDate>
  <CharactersWithSpaces>73261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2026-03-03T11:27:00Z</dcterms:created>
  <dcterms:modified xsi:type="dcterms:W3CDTF">2026-03-03T11:27:00Z</dcterms:modified>
</cp:coreProperties>
</file>